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52"/>
          <w:szCs w:val="52"/>
          <w:highlight w:val="none"/>
        </w:rPr>
      </w:pPr>
      <w:r>
        <w:rPr>
          <w:rFonts w:hint="eastAsia" w:ascii="Times New Roman" w:hAnsi="Times New Roman" w:eastAsia="宋体" w:cstheme="minorBidi"/>
          <w:color w:val="auto"/>
          <w:sz w:val="52"/>
          <w:szCs w:val="52"/>
          <w:highlight w:val="none"/>
        </w:rPr>
        <w:t>苏尼特右旗巴润宝力格采砂场</w:t>
      </w:r>
      <w:r>
        <w:rPr>
          <w:rFonts w:hint="eastAsia" w:ascii="Times New Roman" w:hAnsi="Times New Roman" w:eastAsia="宋体" w:cstheme="minorBidi"/>
          <w:color w:val="auto"/>
          <w:sz w:val="52"/>
          <w:szCs w:val="52"/>
          <w:highlight w:val="none"/>
          <w:lang w:val="en-US" w:eastAsia="zh-CN"/>
        </w:rPr>
        <w:t>扩建</w:t>
      </w:r>
      <w:r>
        <w:rPr>
          <w:rFonts w:hint="eastAsia" w:ascii="Times New Roman" w:hAnsi="Times New Roman" w:eastAsia="宋体" w:cstheme="minorBidi"/>
          <w:color w:val="auto"/>
          <w:sz w:val="52"/>
          <w:szCs w:val="52"/>
          <w:highlight w:val="none"/>
        </w:rPr>
        <w:t>项目</w:t>
      </w:r>
    </w:p>
    <w:p>
      <w:pPr>
        <w:spacing w:line="360" w:lineRule="auto"/>
        <w:ind w:firstLine="0" w:firstLineChars="0"/>
        <w:jc w:val="center"/>
        <w:rPr>
          <w:rFonts w:ascii="Times New Roman" w:hAnsi="Times New Roman" w:eastAsia="宋体" w:cstheme="minorBidi"/>
          <w:color w:val="auto"/>
          <w:sz w:val="72"/>
          <w:szCs w:val="72"/>
          <w:highlight w:val="none"/>
        </w:rPr>
      </w:pPr>
      <w:r>
        <w:rPr>
          <w:rFonts w:hint="eastAsia" w:ascii="Times New Roman" w:hAnsi="Times New Roman" w:eastAsia="宋体" w:cstheme="minorBidi"/>
          <w:color w:val="auto"/>
          <w:sz w:val="72"/>
          <w:szCs w:val="72"/>
          <w:highlight w:val="none"/>
        </w:rPr>
        <w:t>环境影响报告书</w:t>
      </w:r>
    </w:p>
    <w:p>
      <w:pPr>
        <w:spacing w:line="360" w:lineRule="auto"/>
        <w:ind w:firstLine="0" w:firstLineChars="0"/>
        <w:jc w:val="center"/>
        <w:rPr>
          <w:rFonts w:ascii="Times New Roman" w:hAnsi="Times New Roman" w:eastAsia="宋体" w:cstheme="minorBidi"/>
          <w:color w:val="auto"/>
          <w:sz w:val="56"/>
          <w:szCs w:val="72"/>
          <w:highlight w:val="none"/>
        </w:rPr>
      </w:pPr>
      <w:r>
        <w:rPr>
          <w:rFonts w:ascii="Times New Roman" w:hAnsi="Times New Roman" w:eastAsia="宋体" w:cstheme="minorBidi"/>
          <w:color w:val="auto"/>
          <w:sz w:val="56"/>
          <w:szCs w:val="72"/>
          <w:highlight w:val="none"/>
        </w:rPr>
        <w:t>（</w:t>
      </w:r>
      <w:r>
        <w:rPr>
          <w:rFonts w:hint="eastAsia" w:eastAsia="宋体" w:cstheme="minorBidi"/>
          <w:color w:val="auto"/>
          <w:sz w:val="56"/>
          <w:szCs w:val="72"/>
          <w:highlight w:val="none"/>
          <w:lang w:val="en-US" w:eastAsia="zh-CN"/>
        </w:rPr>
        <w:t>报批</w:t>
      </w:r>
      <w:r>
        <w:rPr>
          <w:rFonts w:hint="eastAsia" w:ascii="Times New Roman" w:hAnsi="Times New Roman" w:eastAsia="宋体" w:cstheme="minorBidi"/>
          <w:color w:val="auto"/>
          <w:sz w:val="56"/>
          <w:szCs w:val="72"/>
          <w:highlight w:val="none"/>
        </w:rPr>
        <w:t>版）</w:t>
      </w:r>
    </w:p>
    <w:p>
      <w:pPr>
        <w:spacing w:line="360" w:lineRule="auto"/>
        <w:ind w:firstLine="0" w:firstLineChars="0"/>
        <w:jc w:val="center"/>
        <w:rPr>
          <w:rFonts w:ascii="Times New Roman" w:hAnsi="Times New Roman" w:eastAsia="宋体" w:cstheme="minorBidi"/>
          <w:color w:val="auto"/>
          <w:sz w:val="56"/>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none"/>
        </w:rPr>
      </w:pPr>
    </w:p>
    <w:p>
      <w:pPr>
        <w:spacing w:line="360" w:lineRule="auto"/>
        <w:ind w:firstLine="0" w:firstLineChars="0"/>
        <w:jc w:val="left"/>
        <w:rPr>
          <w:rFonts w:hint="eastAsia" w:eastAsia="宋体" w:cstheme="minorBidi"/>
          <w:color w:val="auto"/>
          <w:sz w:val="32"/>
          <w:szCs w:val="32"/>
          <w:highlight w:val="none"/>
          <w:lang w:val="en-US" w:eastAsia="zh-CN"/>
        </w:rPr>
      </w:pPr>
      <w:r>
        <w:rPr>
          <w:rFonts w:hint="eastAsia" w:eastAsia="宋体" w:cstheme="minorBidi"/>
          <w:color w:val="auto"/>
          <w:sz w:val="32"/>
          <w:szCs w:val="32"/>
          <w:highlight w:val="none"/>
          <w:lang w:val="en-US" w:eastAsia="zh-CN"/>
        </w:rPr>
        <w:t>建设单位：苏尼特右旗世荣基建石料开采有限责任公司</w:t>
      </w:r>
    </w:p>
    <w:p>
      <w:pPr>
        <w:spacing w:line="360" w:lineRule="auto"/>
        <w:ind w:firstLine="0" w:firstLineChars="0"/>
        <w:jc w:val="left"/>
        <w:rPr>
          <w:rFonts w:hint="eastAsia" w:ascii="Times New Roman" w:hAnsi="Times New Roman" w:eastAsia="宋体" w:cstheme="minorBidi"/>
          <w:color w:val="auto"/>
          <w:sz w:val="32"/>
          <w:szCs w:val="32"/>
          <w:highlight w:val="none"/>
          <w:lang w:eastAsia="zh-CN"/>
        </w:rPr>
      </w:pPr>
      <w:r>
        <w:rPr>
          <w:rFonts w:hint="eastAsia" w:eastAsia="宋体" w:cstheme="minorBidi"/>
          <w:color w:val="auto"/>
          <w:sz w:val="32"/>
          <w:szCs w:val="32"/>
          <w:highlight w:val="none"/>
          <w:lang w:val="en-US" w:eastAsia="zh-CN"/>
        </w:rPr>
        <w:t>环评单位：</w:t>
      </w:r>
      <w:r>
        <w:rPr>
          <w:rFonts w:hint="eastAsia" w:ascii="Times New Roman" w:hAnsi="Times New Roman" w:eastAsia="宋体" w:cstheme="minorBidi"/>
          <w:color w:val="auto"/>
          <w:sz w:val="32"/>
          <w:szCs w:val="32"/>
          <w:highlight w:val="none"/>
        </w:rPr>
        <w:t>内蒙古</w:t>
      </w:r>
      <w:r>
        <w:rPr>
          <w:rFonts w:hint="eastAsia" w:eastAsia="宋体" w:cstheme="minorBidi"/>
          <w:color w:val="auto"/>
          <w:sz w:val="32"/>
          <w:szCs w:val="32"/>
          <w:highlight w:val="none"/>
          <w:lang w:val="en-US" w:eastAsia="zh-CN"/>
        </w:rPr>
        <w:t>筹信环保</w:t>
      </w:r>
      <w:r>
        <w:rPr>
          <w:rFonts w:hint="eastAsia" w:ascii="Times New Roman" w:hAnsi="Times New Roman" w:eastAsia="宋体" w:cstheme="minorBidi"/>
          <w:color w:val="auto"/>
          <w:sz w:val="32"/>
          <w:szCs w:val="32"/>
          <w:highlight w:val="none"/>
          <w:lang w:eastAsia="zh-CN"/>
        </w:rPr>
        <w:t>科技有限公司</w:t>
      </w:r>
    </w:p>
    <w:p>
      <w:pPr>
        <w:spacing w:line="360" w:lineRule="auto"/>
        <w:ind w:firstLine="0" w:firstLineChars="0"/>
        <w:jc w:val="center"/>
        <w:rPr>
          <w:rFonts w:ascii="Times New Roman" w:hAnsi="Times New Roman" w:eastAsia="宋体" w:cstheme="minorBidi"/>
          <w:color w:val="auto"/>
          <w:sz w:val="32"/>
          <w:szCs w:val="32"/>
          <w:highlight w:val="none"/>
        </w:rPr>
      </w:pPr>
      <w:r>
        <w:rPr>
          <w:rFonts w:hint="eastAsia" w:ascii="Times New Roman" w:hAnsi="Times New Roman" w:eastAsia="宋体" w:cstheme="minorBidi"/>
          <w:color w:val="auto"/>
          <w:sz w:val="32"/>
          <w:szCs w:val="32"/>
          <w:highlight w:val="none"/>
        </w:rPr>
        <w:t>20</w:t>
      </w:r>
      <w:r>
        <w:rPr>
          <w:rFonts w:hint="eastAsia" w:eastAsia="宋体" w:cstheme="minorBidi"/>
          <w:color w:val="auto"/>
          <w:sz w:val="32"/>
          <w:szCs w:val="32"/>
          <w:highlight w:val="none"/>
          <w:lang w:val="en-US" w:eastAsia="zh-CN"/>
        </w:rPr>
        <w:t>21</w:t>
      </w:r>
      <w:r>
        <w:rPr>
          <w:rFonts w:hint="eastAsia" w:ascii="Times New Roman" w:hAnsi="Times New Roman" w:eastAsia="宋体" w:cstheme="minorBidi"/>
          <w:color w:val="auto"/>
          <w:sz w:val="32"/>
          <w:szCs w:val="32"/>
          <w:highlight w:val="none"/>
        </w:rPr>
        <w:t>年</w:t>
      </w:r>
      <w:r>
        <w:rPr>
          <w:rFonts w:hint="eastAsia" w:eastAsia="宋体" w:cstheme="minorBidi"/>
          <w:color w:val="auto"/>
          <w:sz w:val="32"/>
          <w:szCs w:val="32"/>
          <w:highlight w:val="none"/>
          <w:lang w:val="en-US" w:eastAsia="zh-CN"/>
        </w:rPr>
        <w:t>4</w:t>
      </w:r>
      <w:r>
        <w:rPr>
          <w:rFonts w:hint="eastAsia" w:ascii="Times New Roman" w:hAnsi="Times New Roman" w:eastAsia="宋体" w:cstheme="minorBidi"/>
          <w:color w:val="auto"/>
          <w:sz w:val="32"/>
          <w:szCs w:val="32"/>
          <w:highlight w:val="none"/>
        </w:rPr>
        <w:t>月</w:t>
      </w:r>
    </w:p>
    <w:p>
      <w:pPr>
        <w:ind w:firstLine="480"/>
        <w:rPr>
          <w:rFonts w:ascii="Times New Roman" w:hAnsi="Times New Roman" w:eastAsia="宋体"/>
          <w:color w:val="auto"/>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ind w:firstLine="480"/>
        <w:rPr>
          <w:rFonts w:ascii="Times New Roman" w:hAnsi="Times New Roman" w:eastAsia="宋体"/>
          <w:color w:val="auto"/>
          <w:highlight w:val="yellow"/>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sdt>
      <w:sdtPr>
        <w:rPr>
          <w:rFonts w:ascii="Times New Roman" w:hAnsi="Times New Roman" w:eastAsia="宋体" w:cs="Times New Roman"/>
          <w:b w:val="0"/>
          <w:bCs w:val="0"/>
          <w:color w:val="auto"/>
          <w:kern w:val="2"/>
          <w:sz w:val="24"/>
          <w:szCs w:val="22"/>
          <w:highlight w:val="yellow"/>
          <w:lang w:val="zh-CN"/>
        </w:rPr>
        <w:id w:val="264506645"/>
      </w:sdtPr>
      <w:sdtEndPr>
        <w:rPr>
          <w:rFonts w:ascii="Times New Roman" w:hAnsi="Times New Roman" w:eastAsia="宋体" w:cs="Times New Roman"/>
          <w:b w:val="0"/>
          <w:bCs w:val="0"/>
          <w:color w:val="auto"/>
          <w:kern w:val="2"/>
          <w:sz w:val="24"/>
          <w:szCs w:val="22"/>
          <w:highlight w:val="yellow"/>
          <w:lang w:val="zh-CN"/>
        </w:rPr>
      </w:sdtEndPr>
      <w:sdtContent>
        <w:p>
          <w:pPr>
            <w:pStyle w:val="116"/>
            <w:jc w:val="center"/>
            <w:rPr>
              <w:rFonts w:ascii="Times New Roman" w:hAnsi="Times New Roman" w:eastAsia="宋体"/>
              <w:color w:val="auto"/>
              <w:sz w:val="32"/>
              <w:highlight w:val="none"/>
            </w:rPr>
          </w:pPr>
          <w:r>
            <w:rPr>
              <w:rFonts w:ascii="Times New Roman" w:hAnsi="Times New Roman" w:eastAsia="宋体"/>
              <w:color w:val="auto"/>
              <w:sz w:val="32"/>
              <w:highlight w:val="none"/>
              <w:lang w:val="zh-CN"/>
            </w:rPr>
            <w:t>目</w:t>
          </w:r>
          <w:r>
            <w:rPr>
              <w:rFonts w:hint="eastAsia" w:ascii="Times New Roman" w:hAnsi="Times New Roman" w:eastAsia="宋体"/>
              <w:color w:val="auto"/>
              <w:sz w:val="32"/>
              <w:highlight w:val="none"/>
              <w:lang w:val="zh-CN"/>
            </w:rPr>
            <w:t xml:space="preserve"> </w:t>
          </w:r>
          <w:r>
            <w:rPr>
              <w:rFonts w:ascii="Times New Roman" w:hAnsi="Times New Roman" w:eastAsia="宋体"/>
              <w:color w:val="auto"/>
              <w:sz w:val="32"/>
              <w:highlight w:val="none"/>
              <w:lang w:val="zh-CN"/>
            </w:rPr>
            <w:t>录</w:t>
          </w:r>
        </w:p>
        <w:p>
          <w:pPr>
            <w:pStyle w:val="24"/>
            <w:tabs>
              <w:tab w:val="right" w:leader="dot" w:pos="8306"/>
            </w:tabs>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TOC \o "1-3" \h \z \u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highlight w:val="none"/>
            </w:rPr>
            <w:instrText xml:space="preserve"> HYPERLINK \l _Toc11696 </w:instrText>
          </w:r>
          <w:r>
            <w:rPr>
              <w:rFonts w:ascii="Times New Roman" w:hAnsi="Times New Roman" w:eastAsia="宋体"/>
              <w:highlight w:val="none"/>
            </w:rPr>
            <w:fldChar w:fldCharType="separate"/>
          </w:r>
          <w:r>
            <w:rPr>
              <w:rFonts w:ascii="Times New Roman" w:hAnsi="Times New Roman" w:eastAsia="宋体"/>
              <w:bCs w:val="0"/>
              <w:szCs w:val="36"/>
              <w:highlight w:val="none"/>
            </w:rPr>
            <w:t>1</w:t>
          </w:r>
          <w:r>
            <w:rPr>
              <w:rFonts w:hint="eastAsia" w:ascii="Times New Roman" w:hAnsi="Times New Roman" w:eastAsia="宋体"/>
              <w:bCs w:val="0"/>
              <w:szCs w:val="36"/>
              <w:highlight w:val="none"/>
            </w:rPr>
            <w:t xml:space="preserve"> 前言</w:t>
          </w:r>
          <w:r>
            <w:tab/>
          </w:r>
          <w:r>
            <w:fldChar w:fldCharType="begin"/>
          </w:r>
          <w:r>
            <w:instrText xml:space="preserve"> PAGEREF _Toc11696 \h </w:instrText>
          </w:r>
          <w:r>
            <w:fldChar w:fldCharType="separate"/>
          </w:r>
          <w:r>
            <w:t>1</w:t>
          </w:r>
          <w:r>
            <w:fldChar w:fldCharType="end"/>
          </w:r>
          <w:r>
            <w:rPr>
              <w:rFonts w:ascii="Times New Roman" w:hAnsi="Times New Roman" w:eastAsia="宋体"/>
              <w:color w:val="auto"/>
              <w:highlight w:val="none"/>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_Toc21434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1.1 </w:t>
          </w:r>
          <w:r>
            <w:rPr>
              <w:rFonts w:hint="eastAsia" w:ascii="Times New Roman" w:hAnsi="Times New Roman" w:eastAsia="宋体" w:cstheme="majorEastAsia"/>
              <w:bCs w:val="0"/>
              <w:highlight w:val="none"/>
            </w:rPr>
            <w:t>建设项目</w:t>
          </w:r>
          <w:r>
            <w:rPr>
              <w:rFonts w:hint="eastAsia" w:ascii="Times New Roman" w:hAnsi="Times New Roman" w:eastAsia="宋体" w:cstheme="majorEastAsia"/>
              <w:bCs w:val="0"/>
              <w:highlight w:val="none"/>
              <w:lang w:val="en-US" w:eastAsia="zh-CN"/>
            </w:rPr>
            <w:t>特点</w:t>
          </w:r>
          <w:r>
            <w:tab/>
          </w:r>
          <w:r>
            <w:fldChar w:fldCharType="begin"/>
          </w:r>
          <w:r>
            <w:instrText xml:space="preserve"> PAGEREF _Toc21434 \h </w:instrText>
          </w:r>
          <w:r>
            <w:fldChar w:fldCharType="separate"/>
          </w:r>
          <w:r>
            <w:t>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_Toc25627 </w:instrText>
          </w:r>
          <w:r>
            <w:rPr>
              <w:rFonts w:ascii="Times New Roman" w:hAnsi="Times New Roman" w:eastAsia="宋体"/>
              <w:bCs/>
              <w:highlight w:val="none"/>
              <w:lang w:val="zh-CN"/>
            </w:rPr>
            <w:fldChar w:fldCharType="separate"/>
          </w:r>
          <w:r>
            <w:rPr>
              <w:rFonts w:hint="eastAsia" w:ascii="Times New Roman" w:hAnsi="Times New Roman" w:eastAsia="宋体" w:cstheme="majorEastAsia"/>
              <w:bCs w:val="0"/>
              <w:highlight w:val="none"/>
            </w:rPr>
            <w:t>1.2 环境影响评价的工作过程</w:t>
          </w:r>
          <w:r>
            <w:tab/>
          </w:r>
          <w:r>
            <w:fldChar w:fldCharType="begin"/>
          </w:r>
          <w:r>
            <w:instrText xml:space="preserve"> PAGEREF _Toc25627 \h </w:instrText>
          </w:r>
          <w:r>
            <w:fldChar w:fldCharType="separate"/>
          </w:r>
          <w:r>
            <w:t>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_Toc15144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1.3 关注的主要环境问题</w:t>
          </w:r>
          <w:r>
            <w:tab/>
          </w:r>
          <w:r>
            <w:fldChar w:fldCharType="begin"/>
          </w:r>
          <w:r>
            <w:instrText xml:space="preserve"> PAGEREF _Toc15144 \h </w:instrText>
          </w:r>
          <w:r>
            <w:fldChar w:fldCharType="separate"/>
          </w:r>
          <w:r>
            <w:t>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_Toc11875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1.</w:t>
          </w:r>
          <w:r>
            <w:rPr>
              <w:rFonts w:hint="eastAsia" w:ascii="Times New Roman" w:hAnsi="Times New Roman" w:eastAsia="宋体"/>
              <w:bCs w:val="0"/>
              <w:highlight w:val="none"/>
              <w:lang w:val="en-US" w:eastAsia="zh-CN"/>
            </w:rPr>
            <w:t>4</w:t>
          </w:r>
          <w:r>
            <w:rPr>
              <w:rFonts w:hint="eastAsia" w:ascii="Times New Roman" w:hAnsi="Times New Roman" w:eastAsia="宋体"/>
              <w:bCs w:val="0"/>
              <w:highlight w:val="none"/>
            </w:rPr>
            <w:t xml:space="preserve"> 分析判定相关情况</w:t>
          </w:r>
          <w:r>
            <w:tab/>
          </w:r>
          <w:r>
            <w:fldChar w:fldCharType="begin"/>
          </w:r>
          <w:r>
            <w:instrText xml:space="preserve"> PAGEREF _Toc11875 \h </w:instrText>
          </w:r>
          <w:r>
            <w:fldChar w:fldCharType="separate"/>
          </w:r>
          <w:r>
            <w:t>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_Toc30908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.1 项目与国家产业政策符合性分析</w:t>
          </w:r>
          <w:r>
            <w:tab/>
          </w:r>
          <w:r>
            <w:fldChar w:fldCharType="begin"/>
          </w:r>
          <w:r>
            <w:instrText xml:space="preserve"> PAGEREF _Toc30908 \h </w:instrText>
          </w:r>
          <w:r>
            <w:fldChar w:fldCharType="separate"/>
          </w:r>
          <w:r>
            <w:t>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_Toc17919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2</w:t>
          </w:r>
          <w:r>
            <w:rPr>
              <w:rFonts w:hint="eastAsia" w:ascii="Times New Roman" w:hAnsi="Times New Roman" w:eastAsia="宋体"/>
              <w:bCs w:val="0"/>
              <w:szCs w:val="30"/>
              <w:highlight w:val="none"/>
            </w:rPr>
            <w:t xml:space="preserve"> 与</w:t>
          </w:r>
          <w:r>
            <w:rPr>
              <w:rFonts w:hint="eastAsia" w:ascii="Times New Roman" w:hAnsi="Times New Roman" w:eastAsia="宋体"/>
              <w:bCs w:val="0"/>
              <w:szCs w:val="30"/>
              <w:highlight w:val="none"/>
              <w:lang w:val="en-US" w:eastAsia="zh-CN"/>
            </w:rPr>
            <w:t>内蒙古自治区“十三五”生态环境保护规划</w:t>
          </w:r>
          <w:r>
            <w:rPr>
              <w:rFonts w:hint="eastAsia" w:ascii="Times New Roman" w:hAnsi="Times New Roman" w:eastAsia="宋体"/>
              <w:bCs w:val="0"/>
              <w:szCs w:val="30"/>
              <w:highlight w:val="none"/>
            </w:rPr>
            <w:t>的相符性</w:t>
          </w:r>
          <w:r>
            <w:tab/>
          </w:r>
          <w:r>
            <w:fldChar w:fldCharType="begin"/>
          </w:r>
          <w:r>
            <w:instrText xml:space="preserve"> PAGEREF _Toc17919 \h </w:instrText>
          </w:r>
          <w:r>
            <w:fldChar w:fldCharType="separate"/>
          </w:r>
          <w:r>
            <w:t>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_Toc20477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3</w:t>
          </w:r>
          <w:r>
            <w:rPr>
              <w:rFonts w:hint="eastAsia" w:ascii="Times New Roman" w:hAnsi="Times New Roman" w:eastAsia="宋体"/>
              <w:bCs w:val="0"/>
              <w:highlight w:val="none"/>
            </w:rPr>
            <w:t xml:space="preserve"> 与</w:t>
          </w:r>
          <w:r>
            <w:rPr>
              <w:rFonts w:hint="eastAsia" w:ascii="Times New Roman" w:hAnsi="Times New Roman" w:eastAsia="宋体"/>
              <w:bCs w:val="0"/>
              <w:highlight w:val="none"/>
              <w:lang w:eastAsia="zh-CN"/>
            </w:rPr>
            <w:t>《</w:t>
          </w:r>
          <w:r>
            <w:rPr>
              <w:rFonts w:hint="eastAsia" w:ascii="Times New Roman" w:hAnsi="Times New Roman" w:eastAsia="宋体"/>
              <w:bCs w:val="0"/>
              <w:highlight w:val="none"/>
              <w:lang w:val="en-US" w:eastAsia="zh-CN"/>
            </w:rPr>
            <w:t>矿山生态环境保护与污染防治技术政策</w:t>
          </w:r>
          <w:r>
            <w:rPr>
              <w:rFonts w:hint="eastAsia" w:ascii="Times New Roman" w:hAnsi="Times New Roman" w:eastAsia="宋体"/>
              <w:bCs w:val="0"/>
              <w:highlight w:val="none"/>
              <w:lang w:eastAsia="zh-CN"/>
            </w:rPr>
            <w:t>》</w:t>
          </w:r>
          <w:r>
            <w:rPr>
              <w:rFonts w:hint="eastAsia" w:ascii="Times New Roman" w:hAnsi="Times New Roman" w:eastAsia="宋体"/>
              <w:bCs w:val="0"/>
              <w:highlight w:val="none"/>
            </w:rPr>
            <w:t>的相符性</w:t>
          </w:r>
          <w:r>
            <w:tab/>
          </w:r>
          <w:r>
            <w:fldChar w:fldCharType="begin"/>
          </w:r>
          <w:r>
            <w:instrText xml:space="preserve"> PAGEREF _Toc20477 \h </w:instrText>
          </w:r>
          <w:r>
            <w:fldChar w:fldCharType="separate"/>
          </w:r>
          <w:r>
            <w:t>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_Toc14497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w:t>
          </w:r>
          <w:r>
            <w:rPr>
              <w:rFonts w:hint="eastAsia" w:eastAsia="宋体"/>
              <w:bCs w:val="0"/>
              <w:szCs w:val="30"/>
              <w:highlight w:val="none"/>
              <w:lang w:val="en-US" w:eastAsia="zh-CN"/>
            </w:rPr>
            <w:t>4</w:t>
          </w:r>
          <w:r>
            <w:rPr>
              <w:rFonts w:hint="eastAsia" w:ascii="Times New Roman" w:hAnsi="Times New Roman" w:eastAsia="宋体"/>
              <w:bCs w:val="0"/>
              <w:szCs w:val="30"/>
              <w:highlight w:val="none"/>
            </w:rPr>
            <w:t xml:space="preserve"> 选址合理性分析</w:t>
          </w:r>
          <w:r>
            <w:tab/>
          </w:r>
          <w:r>
            <w:fldChar w:fldCharType="begin"/>
          </w:r>
          <w:r>
            <w:instrText xml:space="preserve"> PAGEREF _Toc14497 \h </w:instrText>
          </w:r>
          <w:r>
            <w:fldChar w:fldCharType="separate"/>
          </w:r>
          <w:r>
            <w:t>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_Toc5900 </w:instrText>
          </w:r>
          <w:r>
            <w:rPr>
              <w:rFonts w:ascii="Times New Roman" w:hAnsi="Times New Roman" w:eastAsia="宋体"/>
              <w:bCs/>
              <w:highlight w:val="none"/>
              <w:lang w:val="zh-CN"/>
            </w:rPr>
            <w:fldChar w:fldCharType="separate"/>
          </w:r>
          <w:r>
            <w:rPr>
              <w:rFonts w:hint="eastAsia" w:ascii="Times New Roman" w:hAnsi="Times New Roman" w:eastAsia="宋体" w:cstheme="minorBidi"/>
              <w:bCs/>
              <w:szCs w:val="30"/>
              <w:highlight w:val="none"/>
            </w:rPr>
            <w:t>1.</w:t>
          </w:r>
          <w:r>
            <w:rPr>
              <w:rFonts w:hint="eastAsia" w:ascii="Times New Roman" w:hAnsi="Times New Roman" w:eastAsia="宋体" w:cstheme="minorBidi"/>
              <w:bCs/>
              <w:szCs w:val="30"/>
              <w:highlight w:val="none"/>
              <w:lang w:val="en-US" w:eastAsia="zh-CN"/>
            </w:rPr>
            <w:t>4</w:t>
          </w:r>
          <w:r>
            <w:rPr>
              <w:rFonts w:hint="eastAsia" w:ascii="Times New Roman" w:hAnsi="Times New Roman" w:eastAsia="宋体" w:cstheme="minorBidi"/>
              <w:bCs/>
              <w:szCs w:val="30"/>
              <w:highlight w:val="none"/>
            </w:rPr>
            <w:t>.</w:t>
          </w:r>
          <w:r>
            <w:rPr>
              <w:rFonts w:hint="eastAsia" w:eastAsia="宋体" w:cstheme="minorBidi"/>
              <w:bCs/>
              <w:szCs w:val="30"/>
              <w:highlight w:val="none"/>
              <w:lang w:val="en-US" w:eastAsia="zh-CN"/>
            </w:rPr>
            <w:t>5</w:t>
          </w:r>
          <w:r>
            <w:rPr>
              <w:rFonts w:hint="eastAsia" w:ascii="Times New Roman" w:hAnsi="Times New Roman" w:eastAsia="宋体" w:cstheme="minorBidi"/>
              <w:bCs/>
              <w:szCs w:val="30"/>
              <w:highlight w:val="none"/>
            </w:rPr>
            <w:t xml:space="preserve"> 项目与“三线一单”的相符性</w:t>
          </w:r>
          <w:r>
            <w:tab/>
          </w:r>
          <w:r>
            <w:fldChar w:fldCharType="begin"/>
          </w:r>
          <w:r>
            <w:instrText xml:space="preserve"> PAGEREF _Toc5900 \h </w:instrText>
          </w:r>
          <w:r>
            <w:fldChar w:fldCharType="separate"/>
          </w:r>
          <w:r>
            <w:t>6</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_Toc28213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1.4 关注的主要环境问题及环境影响</w:t>
          </w:r>
          <w:r>
            <w:tab/>
          </w:r>
          <w:r>
            <w:fldChar w:fldCharType="begin"/>
          </w:r>
          <w:r>
            <w:instrText xml:space="preserve"> PAGEREF _Toc28213 \h </w:instrText>
          </w:r>
          <w:r>
            <w:fldChar w:fldCharType="separate"/>
          </w:r>
          <w:r>
            <w:t>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_Toc7987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1.5 环境影响评价的主要结论</w:t>
          </w:r>
          <w:r>
            <w:tab/>
          </w:r>
          <w:r>
            <w:fldChar w:fldCharType="begin"/>
          </w:r>
          <w:r>
            <w:instrText xml:space="preserve"> PAGEREF _Toc7987 \h </w:instrText>
          </w:r>
          <w:r>
            <w:fldChar w:fldCharType="separate"/>
          </w:r>
          <w:r>
            <w:t>8</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_Toc32701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 总则</w:t>
          </w:r>
          <w:r>
            <w:tab/>
          </w:r>
          <w:r>
            <w:fldChar w:fldCharType="begin"/>
          </w:r>
          <w:r>
            <w:instrText xml:space="preserve"> PAGEREF _Toc32701 \h </w:instrText>
          </w:r>
          <w:r>
            <w:fldChar w:fldCharType="separate"/>
          </w:r>
          <w:r>
            <w:t>10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_Toc32446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2.1 编制依据</w:t>
          </w:r>
          <w:r>
            <w:tab/>
          </w:r>
          <w:r>
            <w:fldChar w:fldCharType="begin"/>
          </w:r>
          <w:r>
            <w:instrText xml:space="preserve"> PAGEREF _Toc32446 \h </w:instrText>
          </w:r>
          <w:r>
            <w:fldChar w:fldCharType="separate"/>
          </w:r>
          <w:r>
            <w:t>10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2.1.1 环境保护法律</w:t>
          </w:r>
          <w:r>
            <w:tab/>
          </w:r>
          <w:r>
            <w:fldChar w:fldCharType="begin"/>
          </w:r>
          <w:r>
            <w:instrText xml:space="preserve"> PAGEREF _Toc28233 \h </w:instrText>
          </w:r>
          <w:r>
            <w:fldChar w:fldCharType="separate"/>
          </w:r>
          <w:r>
            <w:t>10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_Toc11954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 xml:space="preserve">2.1.2 </w:t>
          </w:r>
          <w:r>
            <w:rPr>
              <w:rFonts w:hint="eastAsia" w:ascii="Times New Roman" w:hAnsi="Times New Roman" w:eastAsia="宋体"/>
              <w:bCs w:val="0"/>
              <w:szCs w:val="30"/>
              <w:highlight w:val="none"/>
              <w:lang w:val="en-US" w:eastAsia="zh-CN"/>
            </w:rPr>
            <w:t>地方有关法规及规划</w:t>
          </w:r>
          <w:r>
            <w:tab/>
          </w:r>
          <w:r>
            <w:fldChar w:fldCharType="begin"/>
          </w:r>
          <w:r>
            <w:instrText xml:space="preserve"> PAGEREF _Toc11954 \h </w:instrText>
          </w:r>
          <w:r>
            <w:fldChar w:fldCharType="separate"/>
          </w:r>
          <w:r>
            <w:t>11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_Toc592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2.1.3 环境保护技术导则及规范</w:t>
          </w:r>
          <w:r>
            <w:tab/>
          </w:r>
          <w:r>
            <w:fldChar w:fldCharType="begin"/>
          </w:r>
          <w:r>
            <w:instrText xml:space="preserve"> PAGEREF _Toc592 \h </w:instrText>
          </w:r>
          <w:r>
            <w:fldChar w:fldCharType="separate"/>
          </w:r>
          <w:r>
            <w:t>12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_Toc17179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2.1.4 项目相关文件</w:t>
          </w:r>
          <w:r>
            <w:tab/>
          </w:r>
          <w:r>
            <w:fldChar w:fldCharType="begin"/>
          </w:r>
          <w:r>
            <w:instrText xml:space="preserve"> PAGEREF _Toc17179 \h </w:instrText>
          </w:r>
          <w:r>
            <w:fldChar w:fldCharType="separate"/>
          </w:r>
          <w:r>
            <w:t>13</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_Toc7992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2.2评价目的和原则</w:t>
          </w:r>
          <w:r>
            <w:tab/>
          </w:r>
          <w:r>
            <w:fldChar w:fldCharType="begin"/>
          </w:r>
          <w:r>
            <w:instrText xml:space="preserve"> PAGEREF _Toc7992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_Toc31507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2.2.1 评价目的</w:t>
          </w:r>
          <w:r>
            <w:tab/>
          </w:r>
          <w:r>
            <w:fldChar w:fldCharType="begin"/>
          </w:r>
          <w:r>
            <w:instrText xml:space="preserve"> PAGEREF _Toc31507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_Toc29658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2.2.2 评价原则</w:t>
          </w:r>
          <w:r>
            <w:tab/>
          </w:r>
          <w:r>
            <w:fldChar w:fldCharType="begin"/>
          </w:r>
          <w:r>
            <w:instrText xml:space="preserve"> PAGEREF _Toc29658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_Toc3500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2.3 评价因子和评价标准</w:t>
          </w:r>
          <w:r>
            <w:tab/>
          </w:r>
          <w:r>
            <w:fldChar w:fldCharType="begin"/>
          </w:r>
          <w:r>
            <w:instrText xml:space="preserve"> PAGEREF _Toc3500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_Toc30771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2.3.1 </w:t>
          </w:r>
          <w:r>
            <w:rPr>
              <w:rFonts w:hint="eastAsia" w:ascii="Times New Roman" w:hAnsi="Times New Roman" w:eastAsia="宋体"/>
              <w:bCs w:val="0"/>
              <w:highlight w:val="none"/>
              <w:lang w:val="en-US" w:eastAsia="zh-CN"/>
            </w:rPr>
            <w:t>环境功能区划</w:t>
          </w:r>
          <w:r>
            <w:tab/>
          </w:r>
          <w:r>
            <w:fldChar w:fldCharType="begin"/>
          </w:r>
          <w:r>
            <w:instrText xml:space="preserve"> PAGEREF _Toc30771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_Toc856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2.3.2 评价标准</w:t>
          </w:r>
          <w:r>
            <w:tab/>
          </w:r>
          <w:r>
            <w:fldChar w:fldCharType="begin"/>
          </w:r>
          <w:r>
            <w:instrText xml:space="preserve"> PAGEREF _Toc856 \h </w:instrText>
          </w:r>
          <w:r>
            <w:fldChar w:fldCharType="separate"/>
          </w:r>
          <w:r>
            <w:t>15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_Toc27052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2.4 评价内容及评价重点</w:t>
          </w:r>
          <w:r>
            <w:tab/>
          </w:r>
          <w:r>
            <w:fldChar w:fldCharType="begin"/>
          </w:r>
          <w:r>
            <w:instrText xml:space="preserve"> PAGEREF _Toc27052 \h </w:instrText>
          </w:r>
          <w:r>
            <w:fldChar w:fldCharType="separate"/>
          </w:r>
          <w:r>
            <w:t>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_Toc10133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2.4.1 评价内容</w:t>
          </w:r>
          <w:r>
            <w:tab/>
          </w:r>
          <w:r>
            <w:fldChar w:fldCharType="begin"/>
          </w:r>
          <w:r>
            <w:instrText xml:space="preserve"> PAGEREF _Toc10133 \h </w:instrText>
          </w:r>
          <w:r>
            <w:fldChar w:fldCharType="separate"/>
          </w:r>
          <w:r>
            <w:t>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_Toc17056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2.4.2 评价重点</w:t>
          </w:r>
          <w:r>
            <w:tab/>
          </w:r>
          <w:r>
            <w:fldChar w:fldCharType="begin"/>
          </w:r>
          <w:r>
            <w:instrText xml:space="preserve"> PAGEREF _Toc17056 \h </w:instrText>
          </w:r>
          <w:r>
            <w:fldChar w:fldCharType="separate"/>
          </w:r>
          <w:r>
            <w:t>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_Toc15579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 xml:space="preserve">2.5.3 </w:t>
          </w:r>
          <w:r>
            <w:rPr>
              <w:rFonts w:hint="eastAsia" w:ascii="Times New Roman" w:hAnsi="Times New Roman" w:eastAsia="宋体"/>
              <w:bCs w:val="0"/>
              <w:highlight w:val="none"/>
            </w:rPr>
            <w:t>评价因子筛选</w:t>
          </w:r>
          <w:r>
            <w:tab/>
          </w:r>
          <w:r>
            <w:fldChar w:fldCharType="begin"/>
          </w:r>
          <w:r>
            <w:instrText xml:space="preserve"> PAGEREF _Toc15579 \h </w:instrText>
          </w:r>
          <w:r>
            <w:fldChar w:fldCharType="separate"/>
          </w:r>
          <w:r>
            <w:t>20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_Toc20229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 xml:space="preserve"> 评价工作等级</w:t>
          </w:r>
          <w:r>
            <w:tab/>
          </w:r>
          <w:r>
            <w:fldChar w:fldCharType="begin"/>
          </w:r>
          <w:r>
            <w:instrText xml:space="preserve"> PAGEREF _Toc20229 \h </w:instrText>
          </w:r>
          <w:r>
            <w:fldChar w:fldCharType="separate"/>
          </w:r>
          <w:r>
            <w:t>20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_Toc11557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.1 环境空气评价工作等级</w:t>
          </w:r>
          <w:r>
            <w:tab/>
          </w:r>
          <w:r>
            <w:fldChar w:fldCharType="begin"/>
          </w:r>
          <w:r>
            <w:instrText xml:space="preserve"> PAGEREF _Toc11557 \h </w:instrText>
          </w:r>
          <w:r>
            <w:fldChar w:fldCharType="separate"/>
          </w:r>
          <w:r>
            <w:t>20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_Toc20322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.2 地表水评价工作等级</w:t>
          </w:r>
          <w:r>
            <w:tab/>
          </w:r>
          <w:r>
            <w:fldChar w:fldCharType="begin"/>
          </w:r>
          <w:r>
            <w:instrText xml:space="preserve"> PAGEREF _Toc20322 \h </w:instrText>
          </w:r>
          <w:r>
            <w:fldChar w:fldCharType="separate"/>
          </w:r>
          <w:r>
            <w:t>22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_Toc901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.3 地下水评价工作等级</w:t>
          </w:r>
          <w:r>
            <w:tab/>
          </w:r>
          <w:r>
            <w:fldChar w:fldCharType="begin"/>
          </w:r>
          <w:r>
            <w:instrText xml:space="preserve"> PAGEREF _Toc901 \h </w:instrText>
          </w:r>
          <w:r>
            <w:fldChar w:fldCharType="separate"/>
          </w:r>
          <w:r>
            <w:t>23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_Toc25723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.4 声环境评价工作等级</w:t>
          </w:r>
          <w:r>
            <w:tab/>
          </w:r>
          <w:r>
            <w:fldChar w:fldCharType="begin"/>
          </w:r>
          <w:r>
            <w:instrText xml:space="preserve"> PAGEREF _Toc25723 \h </w:instrText>
          </w:r>
          <w:r>
            <w:fldChar w:fldCharType="separate"/>
          </w:r>
          <w:r>
            <w:t>24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_Toc8106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2.6.5 生态环境评价工作等级</w:t>
          </w:r>
          <w:r>
            <w:tab/>
          </w:r>
          <w:r>
            <w:fldChar w:fldCharType="begin"/>
          </w:r>
          <w:r>
            <w:instrText xml:space="preserve"> PAGEREF _Toc8106 \h </w:instrText>
          </w:r>
          <w:r>
            <w:fldChar w:fldCharType="separate"/>
          </w:r>
          <w:r>
            <w:t>24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_Toc4442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 xml:space="preserve"> 环境风险评价工作等级</w:t>
          </w:r>
          <w:r>
            <w:tab/>
          </w:r>
          <w:r>
            <w:fldChar w:fldCharType="begin"/>
          </w:r>
          <w:r>
            <w:instrText xml:space="preserve"> PAGEREF _Toc4442 \h </w:instrText>
          </w:r>
          <w:r>
            <w:fldChar w:fldCharType="separate"/>
          </w:r>
          <w:r>
            <w:t>24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_Toc23104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7</w:t>
          </w:r>
          <w:r>
            <w:rPr>
              <w:rFonts w:hint="eastAsia" w:ascii="Times New Roman" w:hAnsi="Times New Roman" w:eastAsia="宋体"/>
              <w:bCs w:val="0"/>
              <w:szCs w:val="30"/>
              <w:highlight w:val="none"/>
            </w:rPr>
            <w:t xml:space="preserve"> 土壤环境评价工作等级</w:t>
          </w:r>
          <w:r>
            <w:tab/>
          </w:r>
          <w:r>
            <w:fldChar w:fldCharType="begin"/>
          </w:r>
          <w:r>
            <w:instrText xml:space="preserve"> PAGEREF _Toc23104 \h </w:instrText>
          </w:r>
          <w:r>
            <w:fldChar w:fldCharType="separate"/>
          </w:r>
          <w:r>
            <w:t>25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_Toc20124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7</w:t>
          </w:r>
          <w:r>
            <w:rPr>
              <w:rFonts w:hint="eastAsia" w:ascii="Times New Roman" w:hAnsi="Times New Roman" w:eastAsia="宋体"/>
              <w:bCs w:val="0"/>
              <w:highlight w:val="none"/>
            </w:rPr>
            <w:t xml:space="preserve"> 评价范围及环境保护目标</w:t>
          </w:r>
          <w:r>
            <w:tab/>
          </w:r>
          <w:r>
            <w:fldChar w:fldCharType="begin"/>
          </w:r>
          <w:r>
            <w:instrText xml:space="preserve"> PAGEREF _Toc20124 \h </w:instrText>
          </w:r>
          <w:r>
            <w:fldChar w:fldCharType="separate"/>
          </w:r>
          <w:r>
            <w:t>26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_Toc18826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7</w:t>
          </w:r>
          <w:r>
            <w:rPr>
              <w:rFonts w:hint="eastAsia" w:ascii="Times New Roman" w:hAnsi="Times New Roman" w:eastAsia="宋体"/>
              <w:bCs w:val="0"/>
              <w:highlight w:val="none"/>
            </w:rPr>
            <w:t>.1 评价范围</w:t>
          </w:r>
          <w:r>
            <w:tab/>
          </w:r>
          <w:r>
            <w:fldChar w:fldCharType="begin"/>
          </w:r>
          <w:r>
            <w:instrText xml:space="preserve"> PAGEREF _Toc18826 \h </w:instrText>
          </w:r>
          <w:r>
            <w:fldChar w:fldCharType="separate"/>
          </w:r>
          <w:r>
            <w:t>26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_Toc16685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7</w:t>
          </w:r>
          <w:r>
            <w:rPr>
              <w:rFonts w:hint="eastAsia" w:ascii="Times New Roman" w:hAnsi="Times New Roman" w:eastAsia="宋体"/>
              <w:bCs w:val="0"/>
              <w:szCs w:val="30"/>
              <w:highlight w:val="none"/>
            </w:rPr>
            <w:t>.2 环境保护目标</w:t>
          </w:r>
          <w:r>
            <w:tab/>
          </w:r>
          <w:r>
            <w:fldChar w:fldCharType="begin"/>
          </w:r>
          <w:r>
            <w:instrText xml:space="preserve"> PAGEREF _Toc16685 \h </w:instrText>
          </w:r>
          <w:r>
            <w:fldChar w:fldCharType="separate"/>
          </w:r>
          <w:r>
            <w:t>28</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_Toc4015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6"/>
              <w:highlight w:val="none"/>
            </w:rPr>
            <w:t>3 项目概况及工程分析</w:t>
          </w:r>
          <w:r>
            <w:tab/>
          </w:r>
          <w:r>
            <w:fldChar w:fldCharType="begin"/>
          </w:r>
          <w:r>
            <w:instrText xml:space="preserve"> PAGEREF _Toc4015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_Toc30678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2"/>
              <w:highlight w:val="none"/>
            </w:rPr>
            <w:t xml:space="preserve">3.1 </w:t>
          </w:r>
          <w:r>
            <w:rPr>
              <w:rFonts w:hint="eastAsia" w:ascii="Times New Roman" w:hAnsi="Times New Roman" w:eastAsia="宋体"/>
              <w:bCs w:val="0"/>
              <w:szCs w:val="32"/>
              <w:highlight w:val="none"/>
              <w:lang w:val="en-US" w:eastAsia="zh-CN"/>
            </w:rPr>
            <w:t>现有工程概况</w:t>
          </w:r>
          <w:r>
            <w:tab/>
          </w:r>
          <w:r>
            <w:fldChar w:fldCharType="begin"/>
          </w:r>
          <w:r>
            <w:instrText xml:space="preserve"> PAGEREF _Toc30678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_Toc10383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 xml:space="preserve">3.1.1 </w:t>
          </w:r>
          <w:r>
            <w:rPr>
              <w:rFonts w:hint="eastAsia" w:ascii="Times New Roman" w:hAnsi="Times New Roman" w:eastAsia="宋体"/>
              <w:bCs w:val="0"/>
              <w:szCs w:val="30"/>
              <w:highlight w:val="none"/>
              <w:lang w:val="en-US" w:eastAsia="zh-CN"/>
            </w:rPr>
            <w:t>现有</w:t>
          </w:r>
          <w:r>
            <w:rPr>
              <w:rFonts w:hint="eastAsia" w:ascii="Times New Roman" w:hAnsi="Times New Roman" w:eastAsia="宋体"/>
              <w:bCs w:val="0"/>
              <w:szCs w:val="30"/>
              <w:highlight w:val="none"/>
            </w:rPr>
            <w:t>项目基本情况</w:t>
          </w:r>
          <w:r>
            <w:tab/>
          </w:r>
          <w:r>
            <w:fldChar w:fldCharType="begin"/>
          </w:r>
          <w:r>
            <w:instrText xml:space="preserve"> PAGEREF _Toc10383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_Toc28232 </w:instrText>
          </w:r>
          <w:r>
            <w:rPr>
              <w:rFonts w:ascii="Times New Roman" w:hAnsi="Times New Roman" w:eastAsia="宋体"/>
              <w:bCs/>
              <w:highlight w:val="none"/>
              <w:lang w:val="zh-CN"/>
            </w:rPr>
            <w:fldChar w:fldCharType="separate"/>
          </w:r>
          <w:r>
            <w:rPr>
              <w:rFonts w:ascii="Times New Roman" w:hAnsi="Times New Roman" w:eastAsia="宋体"/>
              <w:bCs w:val="0"/>
              <w:highlight w:val="none"/>
            </w:rPr>
            <w:t>3.1.</w:t>
          </w:r>
          <w:r>
            <w:rPr>
              <w:rFonts w:hint="eastAsia" w:eastAsia="宋体"/>
              <w:bCs w:val="0"/>
              <w:highlight w:val="none"/>
              <w:lang w:val="en-US" w:eastAsia="zh-CN"/>
            </w:rPr>
            <w:t>2</w:t>
          </w:r>
          <w:r>
            <w:rPr>
              <w:rFonts w:hint="eastAsia" w:ascii="Times New Roman" w:hAnsi="Times New Roman" w:eastAsia="宋体"/>
              <w:bCs w:val="0"/>
              <w:highlight w:val="none"/>
            </w:rPr>
            <w:t xml:space="preserve"> </w:t>
          </w:r>
          <w:r>
            <w:rPr>
              <w:rFonts w:hint="eastAsia" w:ascii="Times New Roman" w:hAnsi="Times New Roman" w:eastAsia="宋体"/>
              <w:bCs w:val="0"/>
              <w:highlight w:val="none"/>
              <w:lang w:val="en-US" w:eastAsia="zh-CN"/>
            </w:rPr>
            <w:t>地理位置</w:t>
          </w:r>
          <w:r>
            <w:tab/>
          </w:r>
          <w:r>
            <w:fldChar w:fldCharType="begin"/>
          </w:r>
          <w:r>
            <w:instrText xml:space="preserve"> PAGEREF _Toc28232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_Toc6940 </w:instrText>
          </w:r>
          <w:r>
            <w:rPr>
              <w:rFonts w:ascii="Times New Roman" w:hAnsi="Times New Roman" w:eastAsia="宋体"/>
              <w:bCs/>
              <w:highlight w:val="none"/>
              <w:lang w:val="zh-CN"/>
            </w:rPr>
            <w:fldChar w:fldCharType="separate"/>
          </w:r>
          <w:r>
            <w:rPr>
              <w:rFonts w:ascii="Times New Roman" w:hAnsi="Times New Roman" w:eastAsia="宋体"/>
              <w:bCs w:val="0"/>
              <w:highlight w:val="none"/>
            </w:rPr>
            <w:t>3.1.</w:t>
          </w:r>
          <w:r>
            <w:rPr>
              <w:rFonts w:hint="eastAsia" w:eastAsia="宋体"/>
              <w:bCs w:val="0"/>
              <w:highlight w:val="none"/>
              <w:lang w:val="en-US" w:eastAsia="zh-CN"/>
            </w:rPr>
            <w:t>3</w:t>
          </w:r>
          <w:r>
            <w:rPr>
              <w:rFonts w:hint="eastAsia" w:ascii="Times New Roman" w:hAnsi="Times New Roman" w:eastAsia="宋体"/>
              <w:bCs w:val="0"/>
              <w:highlight w:val="none"/>
            </w:rPr>
            <w:t xml:space="preserve"> </w:t>
          </w:r>
          <w:r>
            <w:rPr>
              <w:rFonts w:hint="eastAsia" w:ascii="Times New Roman" w:hAnsi="Times New Roman" w:eastAsia="宋体"/>
              <w:bCs w:val="0"/>
              <w:highlight w:val="none"/>
              <w:lang w:val="en-US" w:eastAsia="zh-CN"/>
            </w:rPr>
            <w:t>现有工程项目组成</w:t>
          </w:r>
          <w:r>
            <w:tab/>
          </w:r>
          <w:r>
            <w:fldChar w:fldCharType="begin"/>
          </w:r>
          <w:r>
            <w:instrText xml:space="preserve"> PAGEREF _Toc6940 \h </w:instrText>
          </w:r>
          <w:r>
            <w:fldChar w:fldCharType="separate"/>
          </w:r>
          <w:r>
            <w:t>30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_Toc18836 </w:instrText>
          </w:r>
          <w:r>
            <w:rPr>
              <w:rFonts w:ascii="Times New Roman" w:hAnsi="Times New Roman" w:eastAsia="宋体"/>
              <w:bCs/>
              <w:highlight w:val="none"/>
              <w:lang w:val="zh-CN"/>
            </w:rPr>
            <w:fldChar w:fldCharType="separate"/>
          </w:r>
          <w:r>
            <w:rPr>
              <w:rFonts w:ascii="Times New Roman" w:hAnsi="Times New Roman" w:eastAsia="宋体" w:cs="Times New Roman"/>
              <w:bCs w:val="0"/>
              <w:highlight w:val="none"/>
            </w:rPr>
            <w:t>3.1.</w:t>
          </w:r>
          <w:r>
            <w:rPr>
              <w:rFonts w:hint="eastAsia" w:ascii="Times New Roman" w:hAnsi="Times New Roman" w:eastAsia="宋体" w:cs="Times New Roman"/>
              <w:bCs w:val="0"/>
              <w:highlight w:val="none"/>
              <w:lang w:val="en-US" w:eastAsia="zh-CN"/>
            </w:rPr>
            <w:t>4</w:t>
          </w:r>
          <w:r>
            <w:rPr>
              <w:rFonts w:hint="eastAsia" w:ascii="Times New Roman" w:hAnsi="Times New Roman" w:eastAsia="宋体" w:cs="Times New Roman"/>
              <w:bCs w:val="0"/>
              <w:highlight w:val="none"/>
            </w:rPr>
            <w:t>矿山工作制度、设计生产能力和服务年限</w:t>
          </w:r>
          <w:r>
            <w:tab/>
          </w:r>
          <w:r>
            <w:fldChar w:fldCharType="begin"/>
          </w:r>
          <w:r>
            <w:instrText xml:space="preserve"> PAGEREF _Toc18836 \h </w:instrText>
          </w:r>
          <w:r>
            <w:fldChar w:fldCharType="separate"/>
          </w:r>
          <w:r>
            <w:t>31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_Toc21123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szCs w:val="28"/>
              <w:highlight w:val="none"/>
              <w:lang w:val="en-US" w:eastAsia="zh-CN"/>
            </w:rPr>
            <w:t>3.1.5 现有项目工艺流程及产污环节分析</w:t>
          </w:r>
          <w:r>
            <w:tab/>
          </w:r>
          <w:r>
            <w:fldChar w:fldCharType="begin"/>
          </w:r>
          <w:r>
            <w:instrText xml:space="preserve"> PAGEREF _Toc21123 \h </w:instrText>
          </w:r>
          <w:r>
            <w:fldChar w:fldCharType="separate"/>
          </w:r>
          <w:r>
            <w:t>32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_Toc8482 </w:instrText>
          </w:r>
          <w:r>
            <w:rPr>
              <w:rFonts w:ascii="Times New Roman" w:hAnsi="Times New Roman" w:eastAsia="宋体"/>
              <w:bCs/>
              <w:highlight w:val="none"/>
              <w:lang w:val="zh-CN"/>
            </w:rPr>
            <w:fldChar w:fldCharType="separate"/>
          </w:r>
          <w:r>
            <w:rPr>
              <w:rFonts w:ascii="Times New Roman" w:hAnsi="Times New Roman" w:eastAsia="宋体"/>
              <w:bCs w:val="0"/>
              <w:szCs w:val="28"/>
              <w:highlight w:val="none"/>
            </w:rPr>
            <w:t>3.1.</w:t>
          </w:r>
          <w:r>
            <w:rPr>
              <w:rFonts w:hint="eastAsia" w:eastAsia="宋体"/>
              <w:bCs w:val="0"/>
              <w:szCs w:val="28"/>
              <w:highlight w:val="none"/>
              <w:lang w:val="en-US" w:eastAsia="zh-CN"/>
            </w:rPr>
            <w:t>6</w:t>
          </w:r>
          <w:r>
            <w:rPr>
              <w:rFonts w:hint="eastAsia" w:ascii="Times New Roman" w:hAnsi="Times New Roman" w:eastAsia="宋体"/>
              <w:bCs w:val="0"/>
              <w:szCs w:val="28"/>
              <w:highlight w:val="none"/>
            </w:rPr>
            <w:t xml:space="preserve"> 现有环境问题及“以新带老”整治措施</w:t>
          </w:r>
          <w:r>
            <w:tab/>
          </w:r>
          <w:r>
            <w:fldChar w:fldCharType="begin"/>
          </w:r>
          <w:r>
            <w:instrText xml:space="preserve"> PAGEREF _Toc8482 \h </w:instrText>
          </w:r>
          <w:r>
            <w:fldChar w:fldCharType="separate"/>
          </w:r>
          <w:r>
            <w:t>33</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_Toc17842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3.2 </w:t>
          </w:r>
          <w:r>
            <w:rPr>
              <w:rFonts w:hint="eastAsia" w:eastAsia="宋体"/>
              <w:bCs w:val="0"/>
              <w:highlight w:val="none"/>
              <w:lang w:val="en-US" w:eastAsia="zh-CN"/>
            </w:rPr>
            <w:t>扩建</w:t>
          </w:r>
          <w:r>
            <w:rPr>
              <w:rFonts w:hint="eastAsia" w:ascii="Times New Roman" w:hAnsi="Times New Roman" w:eastAsia="宋体"/>
              <w:bCs w:val="0"/>
              <w:highlight w:val="none"/>
              <w:lang w:val="en-US" w:eastAsia="zh-CN"/>
            </w:rPr>
            <w:t>项目工程概况</w:t>
          </w:r>
          <w:r>
            <w:tab/>
          </w:r>
          <w:r>
            <w:fldChar w:fldCharType="begin"/>
          </w:r>
          <w:r>
            <w:instrText xml:space="preserve"> PAGEREF _Toc17842 \h </w:instrText>
          </w:r>
          <w:r>
            <w:fldChar w:fldCharType="separate"/>
          </w:r>
          <w:r>
            <w:t>35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w:t>
          </w:r>
          <w:r>
            <w:rPr>
              <w:rFonts w:hint="eastAsia" w:ascii="Times New Roman" w:hAnsi="Times New Roman" w:eastAsia="宋体"/>
              <w:bCs w:val="0"/>
              <w:szCs w:val="28"/>
              <w:highlight w:val="none"/>
            </w:rPr>
            <w:t>.</w:t>
          </w:r>
          <w:r>
            <w:rPr>
              <w:rFonts w:hint="eastAsia" w:ascii="Times New Roman" w:hAnsi="Times New Roman" w:eastAsia="宋体"/>
              <w:bCs w:val="0"/>
              <w:szCs w:val="28"/>
              <w:highlight w:val="none"/>
              <w:lang w:val="en-US" w:eastAsia="zh-CN"/>
            </w:rPr>
            <w:t>2</w:t>
          </w:r>
          <w:r>
            <w:rPr>
              <w:rFonts w:hint="eastAsia" w:ascii="Times New Roman" w:hAnsi="Times New Roman" w:eastAsia="宋体"/>
              <w:bCs w:val="0"/>
              <w:szCs w:val="28"/>
              <w:highlight w:val="none"/>
            </w:rPr>
            <w:t>.1</w:t>
          </w:r>
          <w:r>
            <w:rPr>
              <w:rFonts w:ascii="Times New Roman" w:hAnsi="Times New Roman" w:eastAsia="宋体"/>
              <w:bCs w:val="0"/>
              <w:szCs w:val="28"/>
              <w:highlight w:val="none"/>
            </w:rPr>
            <w:t>项目名称及建设性质</w:t>
          </w:r>
          <w:r>
            <w:tab/>
          </w:r>
          <w:r>
            <w:fldChar w:fldCharType="begin"/>
          </w:r>
          <w:r>
            <w:instrText xml:space="preserve"> PAGEREF _Toc170 \h </w:instrText>
          </w:r>
          <w:r>
            <w:fldChar w:fldCharType="separate"/>
          </w:r>
          <w:r>
            <w:t>35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_Toc2045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3.2.2建设地点</w:t>
          </w:r>
          <w:r>
            <w:tab/>
          </w:r>
          <w:r>
            <w:fldChar w:fldCharType="begin"/>
          </w:r>
          <w:r>
            <w:instrText xml:space="preserve"> PAGEREF _Toc2045 \h </w:instrText>
          </w:r>
          <w:r>
            <w:fldChar w:fldCharType="separate"/>
          </w:r>
          <w:r>
            <w:t>35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_Toc29377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3.2.3建设规模</w:t>
          </w:r>
          <w:r>
            <w:tab/>
          </w:r>
          <w:r>
            <w:fldChar w:fldCharType="begin"/>
          </w:r>
          <w:r>
            <w:instrText xml:space="preserve"> PAGEREF _Toc29377 \h </w:instrText>
          </w:r>
          <w:r>
            <w:fldChar w:fldCharType="separate"/>
          </w:r>
          <w:r>
            <w:t>36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_Toc29676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3.2.4建设内容</w:t>
          </w:r>
          <w:r>
            <w:tab/>
          </w:r>
          <w:r>
            <w:fldChar w:fldCharType="begin"/>
          </w:r>
          <w:r>
            <w:instrText xml:space="preserve"> PAGEREF _Toc29676 \h </w:instrText>
          </w:r>
          <w:r>
            <w:fldChar w:fldCharType="separate"/>
          </w:r>
          <w:r>
            <w:t>36</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_Toc8435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highlight w:val="none"/>
              <w:lang w:val="en-US" w:eastAsia="zh-CN"/>
            </w:rPr>
            <w:t>3.2.5 项目主要设备</w:t>
          </w:r>
          <w:r>
            <w:tab/>
          </w:r>
          <w:r>
            <w:fldChar w:fldCharType="begin"/>
          </w:r>
          <w:r>
            <w:instrText xml:space="preserve"> PAGEREF _Toc8435 \h </w:instrText>
          </w:r>
          <w:r>
            <w:fldChar w:fldCharType="separate"/>
          </w:r>
          <w:r>
            <w:t>38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_Toc27002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3.2.</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 xml:space="preserve"> 平面布置及周边关系情况</w:t>
          </w:r>
          <w:r>
            <w:tab/>
          </w:r>
          <w:r>
            <w:fldChar w:fldCharType="begin"/>
          </w:r>
          <w:r>
            <w:instrText xml:space="preserve"> PAGEREF _Toc27002 \h </w:instrText>
          </w:r>
          <w:r>
            <w:fldChar w:fldCharType="separate"/>
          </w:r>
          <w:r>
            <w:t>38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_Toc15744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3.2.8 公用工程</w:t>
          </w:r>
          <w:r>
            <w:tab/>
          </w:r>
          <w:r>
            <w:fldChar w:fldCharType="begin"/>
          </w:r>
          <w:r>
            <w:instrText xml:space="preserve"> PAGEREF _Toc15744 \h </w:instrText>
          </w:r>
          <w:r>
            <w:fldChar w:fldCharType="separate"/>
          </w:r>
          <w:r>
            <w:t>39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_Toc9037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3.2.9 物料平衡</w:t>
          </w:r>
          <w:r>
            <w:tab/>
          </w:r>
          <w:r>
            <w:fldChar w:fldCharType="begin"/>
          </w:r>
          <w:r>
            <w:instrText xml:space="preserve"> PAGEREF _Toc9037 \h </w:instrText>
          </w:r>
          <w:r>
            <w:fldChar w:fldCharType="separate"/>
          </w:r>
          <w:r>
            <w:t>40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_Toc19512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3.3 项目技术改造前后变化情况</w:t>
          </w:r>
          <w:r>
            <w:tab/>
          </w:r>
          <w:r>
            <w:fldChar w:fldCharType="begin"/>
          </w:r>
          <w:r>
            <w:instrText xml:space="preserve"> PAGEREF _Toc19512 \h </w:instrText>
          </w:r>
          <w:r>
            <w:fldChar w:fldCharType="separate"/>
          </w:r>
          <w:r>
            <w:t>40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_Toc687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3.4 </w:t>
          </w:r>
          <w:r>
            <w:rPr>
              <w:rFonts w:hint="eastAsia" w:ascii="Times New Roman" w:hAnsi="Times New Roman" w:eastAsia="宋体"/>
              <w:bCs w:val="0"/>
              <w:highlight w:val="none"/>
              <w:lang w:val="en-US" w:eastAsia="zh-CN"/>
            </w:rPr>
            <w:t>矿产资源概况</w:t>
          </w:r>
          <w:r>
            <w:tab/>
          </w:r>
          <w:r>
            <w:fldChar w:fldCharType="begin"/>
          </w:r>
          <w:r>
            <w:instrText xml:space="preserve"> PAGEREF _Toc687 \h </w:instrText>
          </w:r>
          <w:r>
            <w:fldChar w:fldCharType="separate"/>
          </w:r>
          <w:r>
            <w:t>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_Toc19215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3.4.1 矿产资源条件</w:t>
          </w:r>
          <w:r>
            <w:tab/>
          </w:r>
          <w:r>
            <w:fldChar w:fldCharType="begin"/>
          </w:r>
          <w:r>
            <w:instrText xml:space="preserve"> PAGEREF _Toc19215 \h </w:instrText>
          </w:r>
          <w:r>
            <w:fldChar w:fldCharType="separate"/>
          </w:r>
          <w:r>
            <w:t>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_Toc28754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3.4.2 产品方案、服务年限及工作制度</w:t>
          </w:r>
          <w:r>
            <w:tab/>
          </w:r>
          <w:r>
            <w:fldChar w:fldCharType="begin"/>
          </w:r>
          <w:r>
            <w:instrText xml:space="preserve"> PAGEREF _Toc28754 \h </w:instrText>
          </w:r>
          <w:r>
            <w:fldChar w:fldCharType="separate"/>
          </w:r>
          <w:r>
            <w:t>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3.4.3 矿体</w:t>
          </w:r>
          <w:r>
            <w:rPr>
              <w:rFonts w:hint="eastAsia" w:eastAsia="宋体"/>
              <w:bCs w:val="0"/>
              <w:szCs w:val="28"/>
              <w:highlight w:val="none"/>
              <w:lang w:val="en-US" w:eastAsia="zh-CN"/>
            </w:rPr>
            <w:t>（层）特征</w:t>
          </w:r>
          <w:r>
            <w:tab/>
          </w:r>
          <w:r>
            <w:fldChar w:fldCharType="begin"/>
          </w:r>
          <w:r>
            <w:instrText xml:space="preserve"> PAGEREF _Toc84 \h </w:instrText>
          </w:r>
          <w:r>
            <w:fldChar w:fldCharType="separate"/>
          </w:r>
          <w:r>
            <w:t>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_Toc8222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3.4.4 矿石质量</w:t>
          </w:r>
          <w:r>
            <w:tab/>
          </w:r>
          <w:r>
            <w:fldChar w:fldCharType="begin"/>
          </w:r>
          <w:r>
            <w:instrText xml:space="preserve"> PAGEREF _Toc8222 \h </w:instrText>
          </w:r>
          <w:r>
            <w:fldChar w:fldCharType="separate"/>
          </w:r>
          <w:r>
            <w:t>45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_Toc9147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3.5  矿山开采方案</w:t>
          </w:r>
          <w:r>
            <w:tab/>
          </w:r>
          <w:r>
            <w:fldChar w:fldCharType="begin"/>
          </w:r>
          <w:r>
            <w:instrText xml:space="preserve"> PAGEREF _Toc9147 \h </w:instrText>
          </w:r>
          <w:r>
            <w:fldChar w:fldCharType="separate"/>
          </w:r>
          <w:r>
            <w:t>47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_Toc14501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3.5.1 开采范围及开采方式</w:t>
          </w:r>
          <w:r>
            <w:tab/>
          </w:r>
          <w:r>
            <w:fldChar w:fldCharType="begin"/>
          </w:r>
          <w:r>
            <w:instrText xml:space="preserve"> PAGEREF _Toc14501 \h </w:instrText>
          </w:r>
          <w:r>
            <w:fldChar w:fldCharType="separate"/>
          </w:r>
          <w:r>
            <w:t>47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3.5.2 矿床开发总体规划</w:t>
          </w:r>
          <w:r>
            <w:tab/>
          </w:r>
          <w:r>
            <w:fldChar w:fldCharType="begin"/>
          </w:r>
          <w:r>
            <w:instrText xml:space="preserve"> PAGEREF _Toc150 \h </w:instrText>
          </w:r>
          <w:r>
            <w:fldChar w:fldCharType="separate"/>
          </w:r>
          <w:r>
            <w:t>48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_Toc8936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w:t>
          </w:r>
          <w:r>
            <w:rPr>
              <w:rFonts w:hint="eastAsia" w:eastAsia="宋体"/>
              <w:bCs w:val="0"/>
              <w:szCs w:val="28"/>
              <w:highlight w:val="none"/>
              <w:lang w:val="en-US" w:eastAsia="zh-CN"/>
            </w:rPr>
            <w:t>3</w:t>
          </w:r>
          <w:r>
            <w:rPr>
              <w:rFonts w:hint="eastAsia" w:ascii="Times New Roman" w:hAnsi="Times New Roman" w:eastAsia="宋体"/>
              <w:bCs w:val="0"/>
              <w:szCs w:val="28"/>
              <w:highlight w:val="none"/>
              <w:lang w:val="en-US" w:eastAsia="zh-CN"/>
            </w:rPr>
            <w:t xml:space="preserve"> 开拓运输方案选择</w:t>
          </w:r>
          <w:r>
            <w:tab/>
          </w:r>
          <w:r>
            <w:fldChar w:fldCharType="begin"/>
          </w:r>
          <w:r>
            <w:instrText xml:space="preserve"> PAGEREF _Toc8936 \h </w:instrText>
          </w:r>
          <w:r>
            <w:fldChar w:fldCharType="separate"/>
          </w:r>
          <w:r>
            <w:t>48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_Toc25328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w:t>
          </w:r>
          <w:r>
            <w:rPr>
              <w:rFonts w:hint="eastAsia" w:eastAsia="宋体"/>
              <w:bCs w:val="0"/>
              <w:szCs w:val="28"/>
              <w:highlight w:val="none"/>
              <w:lang w:val="en-US" w:eastAsia="zh-CN"/>
            </w:rPr>
            <w:t>4</w:t>
          </w:r>
          <w:r>
            <w:rPr>
              <w:rFonts w:hint="eastAsia" w:ascii="Times New Roman" w:hAnsi="Times New Roman" w:eastAsia="宋体"/>
              <w:bCs w:val="0"/>
              <w:szCs w:val="28"/>
              <w:highlight w:val="none"/>
              <w:lang w:val="en-US" w:eastAsia="zh-CN"/>
            </w:rPr>
            <w:t xml:space="preserve"> 露天采场最终边坡要素</w:t>
          </w:r>
          <w:r>
            <w:tab/>
          </w:r>
          <w:r>
            <w:fldChar w:fldCharType="begin"/>
          </w:r>
          <w:r>
            <w:instrText xml:space="preserve"> PAGEREF _Toc25328 \h </w:instrText>
          </w:r>
          <w:r>
            <w:fldChar w:fldCharType="separate"/>
          </w:r>
          <w:r>
            <w:t>48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_Toc11667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w:t>
          </w:r>
          <w:r>
            <w:rPr>
              <w:rFonts w:hint="eastAsia" w:eastAsia="宋体"/>
              <w:bCs w:val="0"/>
              <w:szCs w:val="28"/>
              <w:highlight w:val="none"/>
              <w:lang w:val="en-US" w:eastAsia="zh-CN"/>
            </w:rPr>
            <w:t>5</w:t>
          </w:r>
          <w:r>
            <w:rPr>
              <w:rFonts w:hint="eastAsia" w:ascii="Times New Roman" w:hAnsi="Times New Roman" w:eastAsia="宋体"/>
              <w:bCs w:val="0"/>
              <w:szCs w:val="28"/>
              <w:highlight w:val="none"/>
              <w:lang w:val="en-US" w:eastAsia="zh-CN"/>
            </w:rPr>
            <w:t xml:space="preserve"> 采场最小底宽</w:t>
          </w:r>
          <w:r>
            <w:tab/>
          </w:r>
          <w:r>
            <w:fldChar w:fldCharType="begin"/>
          </w:r>
          <w:r>
            <w:instrText xml:space="preserve"> PAGEREF _Toc11667 \h </w:instrText>
          </w:r>
          <w:r>
            <w:fldChar w:fldCharType="separate"/>
          </w:r>
          <w:r>
            <w:t>49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_Toc28263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3.6 项目工程分析</w:t>
          </w:r>
          <w:r>
            <w:tab/>
          </w:r>
          <w:r>
            <w:fldChar w:fldCharType="begin"/>
          </w:r>
          <w:r>
            <w:instrText xml:space="preserve"> PAGEREF _Toc28263 \h </w:instrText>
          </w:r>
          <w:r>
            <w:fldChar w:fldCharType="separate"/>
          </w:r>
          <w:r>
            <w:t>49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_Toc18146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3.6.1 施工期污染源强分析</w:t>
          </w:r>
          <w:r>
            <w:tab/>
          </w:r>
          <w:r>
            <w:fldChar w:fldCharType="begin"/>
          </w:r>
          <w:r>
            <w:instrText xml:space="preserve"> PAGEREF _Toc18146 \h </w:instrText>
          </w:r>
          <w:r>
            <w:fldChar w:fldCharType="separate"/>
          </w:r>
          <w:r>
            <w:t>49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_Toc13564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3.6.2 运营期污染源分析</w:t>
          </w:r>
          <w:r>
            <w:tab/>
          </w:r>
          <w:r>
            <w:fldChar w:fldCharType="begin"/>
          </w:r>
          <w:r>
            <w:instrText xml:space="preserve"> PAGEREF _Toc13564 \h </w:instrText>
          </w:r>
          <w:r>
            <w:fldChar w:fldCharType="separate"/>
          </w:r>
          <w:r>
            <w:t>52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_Toc27328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3.7 污染物排放清单</w:t>
          </w:r>
          <w:r>
            <w:tab/>
          </w:r>
          <w:r>
            <w:fldChar w:fldCharType="begin"/>
          </w:r>
          <w:r>
            <w:instrText xml:space="preserve"> PAGEREF _Toc27328 \h </w:instrText>
          </w:r>
          <w:r>
            <w:fldChar w:fldCharType="separate"/>
          </w:r>
          <w:r>
            <w:t>57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_Toc21805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3.8 污染物排放总量</w:t>
          </w:r>
          <w:r>
            <w:tab/>
          </w:r>
          <w:r>
            <w:fldChar w:fldCharType="begin"/>
          </w:r>
          <w:r>
            <w:instrText xml:space="preserve"> PAGEREF _Toc21805 \h </w:instrText>
          </w:r>
          <w:r>
            <w:fldChar w:fldCharType="separate"/>
          </w:r>
          <w:r>
            <w:t>59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_Toc3818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3.9 本项目运营后污染物排放情况</w:t>
          </w:r>
          <w:r>
            <w:tab/>
          </w:r>
          <w:r>
            <w:fldChar w:fldCharType="begin"/>
          </w:r>
          <w:r>
            <w:instrText xml:space="preserve"> PAGEREF _Toc3818 \h </w:instrText>
          </w:r>
          <w:r>
            <w:fldChar w:fldCharType="separate"/>
          </w:r>
          <w:r>
            <w:t>59</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_Toc25109 </w:instrText>
          </w:r>
          <w:r>
            <w:rPr>
              <w:rFonts w:ascii="Times New Roman" w:hAnsi="Times New Roman" w:eastAsia="宋体"/>
              <w:bCs/>
              <w:highlight w:val="none"/>
              <w:lang w:val="zh-CN"/>
            </w:rPr>
            <w:fldChar w:fldCharType="separate"/>
          </w:r>
          <w:r>
            <w:rPr>
              <w:rFonts w:ascii="Times New Roman" w:hAnsi="Times New Roman" w:eastAsia="宋体"/>
              <w:bCs w:val="0"/>
              <w:szCs w:val="36"/>
              <w:highlight w:val="none"/>
            </w:rPr>
            <w:t>4</w:t>
          </w:r>
          <w:r>
            <w:rPr>
              <w:rFonts w:hint="eastAsia" w:ascii="Times New Roman" w:hAnsi="Times New Roman" w:eastAsia="宋体"/>
              <w:bCs w:val="0"/>
              <w:szCs w:val="36"/>
              <w:highlight w:val="none"/>
            </w:rPr>
            <w:t xml:space="preserve"> 环境现状调查与评价</w:t>
          </w:r>
          <w:r>
            <w:tab/>
          </w:r>
          <w:r>
            <w:fldChar w:fldCharType="begin"/>
          </w:r>
          <w:r>
            <w:instrText xml:space="preserve"> PAGEREF _Toc25109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_Toc25881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 自然环境概况</w:t>
          </w:r>
          <w:r>
            <w:tab/>
          </w:r>
          <w:r>
            <w:fldChar w:fldCharType="begin"/>
          </w:r>
          <w:r>
            <w:instrText xml:space="preserve"> PAGEREF _Toc25881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_Toc11631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4.1.1 地理位置</w:t>
          </w:r>
          <w:r>
            <w:tab/>
          </w:r>
          <w:r>
            <w:fldChar w:fldCharType="begin"/>
          </w:r>
          <w:r>
            <w:instrText xml:space="preserve"> PAGEREF _Toc11631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_Toc19324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4.1.2 地形地貌</w:t>
          </w:r>
          <w:r>
            <w:tab/>
          </w:r>
          <w:r>
            <w:fldChar w:fldCharType="begin"/>
          </w:r>
          <w:r>
            <w:instrText xml:space="preserve"> PAGEREF _Toc19324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_Toc2718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4.1.3 地质构造</w:t>
          </w:r>
          <w:r>
            <w:tab/>
          </w:r>
          <w:r>
            <w:fldChar w:fldCharType="begin"/>
          </w:r>
          <w:r>
            <w:instrText xml:space="preserve"> PAGEREF _Toc2718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_Toc17931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w:t>
          </w:r>
          <w:r>
            <w:rPr>
              <w:rFonts w:hint="eastAsia" w:eastAsia="宋体"/>
              <w:bCs w:val="0"/>
              <w:highlight w:val="none"/>
              <w:lang w:val="en-US" w:eastAsia="zh-CN"/>
            </w:rPr>
            <w:t>4</w:t>
          </w:r>
          <w:r>
            <w:rPr>
              <w:rFonts w:hint="eastAsia" w:ascii="Times New Roman" w:hAnsi="Times New Roman" w:eastAsia="宋体"/>
              <w:bCs w:val="0"/>
              <w:highlight w:val="none"/>
            </w:rPr>
            <w:t xml:space="preserve"> 气象气候</w:t>
          </w:r>
          <w:r>
            <w:tab/>
          </w:r>
          <w:r>
            <w:fldChar w:fldCharType="begin"/>
          </w:r>
          <w:r>
            <w:instrText xml:space="preserve"> PAGEREF _Toc17931 \h </w:instrText>
          </w:r>
          <w:r>
            <w:fldChar w:fldCharType="separate"/>
          </w:r>
          <w:r>
            <w:t>62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_Toc6969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w:t>
          </w:r>
          <w:r>
            <w:rPr>
              <w:rFonts w:hint="eastAsia" w:eastAsia="宋体"/>
              <w:bCs w:val="0"/>
              <w:szCs w:val="30"/>
              <w:highlight w:val="none"/>
              <w:lang w:val="en-US" w:eastAsia="zh-CN"/>
            </w:rPr>
            <w:t>5</w:t>
          </w:r>
          <w:r>
            <w:rPr>
              <w:rFonts w:hint="eastAsia" w:ascii="Times New Roman" w:hAnsi="Times New Roman" w:eastAsia="宋体"/>
              <w:bCs w:val="0"/>
              <w:szCs w:val="30"/>
              <w:highlight w:val="none"/>
            </w:rPr>
            <w:t xml:space="preserve"> </w:t>
          </w:r>
          <w:r>
            <w:rPr>
              <w:rFonts w:hint="eastAsia" w:eastAsia="宋体"/>
              <w:bCs w:val="0"/>
              <w:szCs w:val="30"/>
              <w:highlight w:val="none"/>
              <w:lang w:val="en-US" w:eastAsia="zh-CN"/>
            </w:rPr>
            <w:t>水文</w:t>
          </w:r>
          <w:r>
            <w:rPr>
              <w:rFonts w:hint="eastAsia" w:ascii="Times New Roman" w:hAnsi="Times New Roman" w:eastAsia="宋体"/>
              <w:bCs w:val="0"/>
              <w:szCs w:val="30"/>
              <w:highlight w:val="none"/>
            </w:rPr>
            <w:t>水系</w:t>
          </w:r>
          <w:r>
            <w:tab/>
          </w:r>
          <w:r>
            <w:fldChar w:fldCharType="begin"/>
          </w:r>
          <w:r>
            <w:instrText xml:space="preserve"> PAGEREF _Toc6969 \h </w:instrText>
          </w:r>
          <w:r>
            <w:fldChar w:fldCharType="separate"/>
          </w:r>
          <w:r>
            <w:t>62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_Toc28544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4.1.6 矿产资源</w:t>
          </w:r>
          <w:r>
            <w:tab/>
          </w:r>
          <w:r>
            <w:fldChar w:fldCharType="begin"/>
          </w:r>
          <w:r>
            <w:instrText xml:space="preserve"> PAGEREF _Toc28544 \h </w:instrText>
          </w:r>
          <w:r>
            <w:fldChar w:fldCharType="separate"/>
          </w:r>
          <w:r>
            <w:t>62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_Toc30886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4.1.7 植物资源</w:t>
          </w:r>
          <w:r>
            <w:tab/>
          </w:r>
          <w:r>
            <w:fldChar w:fldCharType="begin"/>
          </w:r>
          <w:r>
            <w:instrText xml:space="preserve"> PAGEREF _Toc30886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_Toc1778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4.1.8 环境保护目标调查</w:t>
          </w:r>
          <w:r>
            <w:tab/>
          </w:r>
          <w:r>
            <w:fldChar w:fldCharType="begin"/>
          </w:r>
          <w:r>
            <w:instrText xml:space="preserve"> PAGEREF _Toc1778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_Toc27586 </w:instrText>
          </w:r>
          <w:r>
            <w:rPr>
              <w:rFonts w:ascii="Times New Roman" w:hAnsi="Times New Roman" w:eastAsia="宋体"/>
              <w:bCs/>
              <w:highlight w:val="none"/>
              <w:lang w:val="zh-CN"/>
            </w:rPr>
            <w:fldChar w:fldCharType="separate"/>
          </w:r>
          <w:r>
            <w:rPr>
              <w:rFonts w:ascii="Times New Roman" w:hAnsi="Times New Roman" w:eastAsia="宋体"/>
              <w:bCs/>
              <w:highlight w:val="none"/>
            </w:rPr>
            <w:t>4.</w:t>
          </w:r>
          <w:r>
            <w:rPr>
              <w:rFonts w:hint="eastAsia" w:ascii="Times New Roman" w:hAnsi="Times New Roman" w:eastAsia="宋体"/>
              <w:bCs/>
              <w:highlight w:val="none"/>
              <w:lang w:val="en-US" w:eastAsia="zh-CN"/>
            </w:rPr>
            <w:t>2</w:t>
          </w:r>
          <w:r>
            <w:rPr>
              <w:rFonts w:hint="eastAsia" w:ascii="Times New Roman" w:hAnsi="Times New Roman" w:eastAsia="宋体"/>
              <w:bCs/>
              <w:highlight w:val="none"/>
            </w:rPr>
            <w:t xml:space="preserve"> 环境质量现状评价</w:t>
          </w:r>
          <w:r>
            <w:tab/>
          </w:r>
          <w:r>
            <w:fldChar w:fldCharType="begin"/>
          </w:r>
          <w:r>
            <w:instrText xml:space="preserve"> PAGEREF _Toc27586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_Toc10086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w:t>
          </w:r>
          <w:r>
            <w:rPr>
              <w:rFonts w:hint="eastAsia" w:ascii="Times New Roman" w:hAnsi="Times New Roman" w:eastAsia="宋体"/>
              <w:bCs w:val="0"/>
              <w:szCs w:val="30"/>
              <w:highlight w:val="none"/>
              <w:lang w:val="en-US" w:eastAsia="zh-CN"/>
            </w:rPr>
            <w:t>2</w:t>
          </w:r>
          <w:r>
            <w:rPr>
              <w:rFonts w:hint="eastAsia" w:ascii="Times New Roman" w:hAnsi="Times New Roman" w:eastAsia="宋体"/>
              <w:bCs w:val="0"/>
              <w:szCs w:val="30"/>
              <w:highlight w:val="none"/>
            </w:rPr>
            <w:t>.1 环境空气质量现状评价</w:t>
          </w:r>
          <w:r>
            <w:tab/>
          </w:r>
          <w:r>
            <w:fldChar w:fldCharType="begin"/>
          </w:r>
          <w:r>
            <w:instrText xml:space="preserve"> PAGEREF _Toc10086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_Toc10930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w:t>
          </w:r>
          <w:r>
            <w:rPr>
              <w:rFonts w:hint="eastAsia" w:ascii="Times New Roman" w:hAnsi="Times New Roman" w:eastAsia="宋体"/>
              <w:bCs w:val="0"/>
              <w:szCs w:val="30"/>
              <w:highlight w:val="none"/>
              <w:lang w:val="en-US" w:eastAsia="zh-CN"/>
            </w:rPr>
            <w:t>2</w:t>
          </w:r>
          <w:r>
            <w:rPr>
              <w:rFonts w:hint="eastAsia" w:ascii="Times New Roman" w:hAnsi="Times New Roman" w:eastAsia="宋体"/>
              <w:bCs w:val="0"/>
              <w:szCs w:val="30"/>
              <w:highlight w:val="none"/>
            </w:rPr>
            <w:t xml:space="preserve">.2 </w:t>
          </w:r>
          <w:r>
            <w:rPr>
              <w:rFonts w:hint="eastAsia" w:ascii="Times New Roman" w:hAnsi="Times New Roman" w:eastAsia="宋体"/>
              <w:bCs w:val="0"/>
              <w:szCs w:val="30"/>
              <w:highlight w:val="none"/>
              <w:lang w:val="en-US" w:eastAsia="zh-CN"/>
            </w:rPr>
            <w:t xml:space="preserve"> </w:t>
          </w:r>
          <w:r>
            <w:rPr>
              <w:rFonts w:hint="eastAsia" w:ascii="Times New Roman" w:hAnsi="Times New Roman" w:eastAsia="宋体"/>
              <w:bCs w:val="0"/>
              <w:szCs w:val="30"/>
              <w:highlight w:val="none"/>
            </w:rPr>
            <w:t>声环境质量现状评价</w:t>
          </w:r>
          <w:r>
            <w:tab/>
          </w:r>
          <w:r>
            <w:fldChar w:fldCharType="begin"/>
          </w:r>
          <w:r>
            <w:instrText xml:space="preserve"> PAGEREF _Toc10930 \h </w:instrText>
          </w:r>
          <w:r>
            <w:fldChar w:fldCharType="separate"/>
          </w:r>
          <w:r>
            <w:t>66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_Toc24789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4.2.3 土壤环境质量现状评价</w:t>
          </w:r>
          <w:r>
            <w:tab/>
          </w:r>
          <w:r>
            <w:fldChar w:fldCharType="begin"/>
          </w:r>
          <w:r>
            <w:instrText xml:space="preserve"> PAGEREF _Toc24789 \h </w:instrText>
          </w:r>
          <w:r>
            <w:fldChar w:fldCharType="separate"/>
          </w:r>
          <w:r>
            <w:t>67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_Toc5708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4.2.4 生态环境现状调查与评价</w:t>
          </w:r>
          <w:r>
            <w:tab/>
          </w:r>
          <w:r>
            <w:fldChar w:fldCharType="begin"/>
          </w:r>
          <w:r>
            <w:instrText xml:space="preserve"> PAGEREF _Toc5708 \h </w:instrText>
          </w:r>
          <w:r>
            <w:fldChar w:fldCharType="separate"/>
          </w:r>
          <w:r>
            <w:t>76</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_Toc26229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5 环境影响预测与分析</w:t>
          </w:r>
          <w:r>
            <w:tab/>
          </w:r>
          <w:r>
            <w:fldChar w:fldCharType="begin"/>
          </w:r>
          <w:r>
            <w:instrText xml:space="preserve"> PAGEREF _Toc26229 \h </w:instrText>
          </w:r>
          <w:r>
            <w:fldChar w:fldCharType="separate"/>
          </w:r>
          <w:r>
            <w:t>87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_Toc31676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 施工期环境影响分析</w:t>
          </w:r>
          <w:r>
            <w:tab/>
          </w:r>
          <w:r>
            <w:fldChar w:fldCharType="begin"/>
          </w:r>
          <w:r>
            <w:instrText xml:space="preserve"> PAGEREF _Toc31676 \h </w:instrText>
          </w:r>
          <w:r>
            <w:fldChar w:fldCharType="separate"/>
          </w:r>
          <w:r>
            <w:t>87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_Toc25680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5.1.1 大气环境影响分析</w:t>
          </w:r>
          <w:r>
            <w:tab/>
          </w:r>
          <w:r>
            <w:fldChar w:fldCharType="begin"/>
          </w:r>
          <w:r>
            <w:instrText xml:space="preserve"> PAGEREF _Toc25680 \h </w:instrText>
          </w:r>
          <w:r>
            <w:fldChar w:fldCharType="separate"/>
          </w:r>
          <w:r>
            <w:t>87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_Toc17484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5.1.2 废水影响分析</w:t>
          </w:r>
          <w:r>
            <w:tab/>
          </w:r>
          <w:r>
            <w:fldChar w:fldCharType="begin"/>
          </w:r>
          <w:r>
            <w:instrText xml:space="preserve"> PAGEREF _Toc17484 \h </w:instrText>
          </w:r>
          <w:r>
            <w:fldChar w:fldCharType="separate"/>
          </w:r>
          <w:r>
            <w:t>89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_Toc24160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5.1.3 噪声影响分析</w:t>
          </w:r>
          <w:r>
            <w:tab/>
          </w:r>
          <w:r>
            <w:fldChar w:fldCharType="begin"/>
          </w:r>
          <w:r>
            <w:instrText xml:space="preserve"> PAGEREF _Toc24160 \h </w:instrText>
          </w:r>
          <w:r>
            <w:fldChar w:fldCharType="separate"/>
          </w:r>
          <w:r>
            <w:t>89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_Toc3195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5.1.4 固体废物影响分析</w:t>
          </w:r>
          <w:r>
            <w:tab/>
          </w:r>
          <w:r>
            <w:fldChar w:fldCharType="begin"/>
          </w:r>
          <w:r>
            <w:instrText xml:space="preserve"> PAGEREF _Toc3195 \h </w:instrText>
          </w:r>
          <w:r>
            <w:fldChar w:fldCharType="separate"/>
          </w:r>
          <w:r>
            <w:t>91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_Toc19921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5.1.5 生态环境影响分析</w:t>
          </w:r>
          <w:r>
            <w:tab/>
          </w:r>
          <w:r>
            <w:fldChar w:fldCharType="begin"/>
          </w:r>
          <w:r>
            <w:instrText xml:space="preserve"> PAGEREF _Toc19921 \h </w:instrText>
          </w:r>
          <w:r>
            <w:fldChar w:fldCharType="separate"/>
          </w:r>
          <w:r>
            <w:t>91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_Toc9419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rPr>
            <w:t>5.</w:t>
          </w:r>
          <w:r>
            <w:rPr>
              <w:rFonts w:hint="eastAsia" w:ascii="Times New Roman" w:hAnsi="Times New Roman" w:eastAsia="宋体"/>
              <w:bCs/>
              <w:highlight w:val="none"/>
              <w:lang w:val="en-US" w:eastAsia="zh-CN"/>
            </w:rPr>
            <w:t>2</w:t>
          </w:r>
          <w:r>
            <w:rPr>
              <w:rFonts w:hint="eastAsia" w:ascii="Times New Roman" w:hAnsi="Times New Roman" w:eastAsia="宋体"/>
              <w:bCs/>
              <w:highlight w:val="none"/>
            </w:rPr>
            <w:t xml:space="preserve"> 大气环境影响分析</w:t>
          </w:r>
          <w:r>
            <w:tab/>
          </w:r>
          <w:r>
            <w:fldChar w:fldCharType="begin"/>
          </w:r>
          <w:r>
            <w:instrText xml:space="preserve"> PAGEREF _Toc9419 \h </w:instrText>
          </w:r>
          <w:r>
            <w:fldChar w:fldCharType="separate"/>
          </w:r>
          <w:r>
            <w:t>95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_Toc5403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rPr>
            <w:t>5.</w:t>
          </w:r>
          <w:r>
            <w:rPr>
              <w:rFonts w:hint="eastAsia" w:eastAsia="宋体"/>
              <w:bCs/>
              <w:highlight w:val="none"/>
              <w:lang w:val="en-US" w:eastAsia="zh-CN"/>
            </w:rPr>
            <w:t>2</w:t>
          </w:r>
          <w:r>
            <w:rPr>
              <w:rFonts w:hint="eastAsia" w:ascii="Times New Roman" w:hAnsi="Times New Roman" w:eastAsia="宋体"/>
              <w:bCs/>
              <w:highlight w:val="none"/>
            </w:rPr>
            <w:t xml:space="preserve">.1 </w:t>
          </w:r>
          <w:r>
            <w:rPr>
              <w:rFonts w:hint="eastAsia" w:ascii="Times New Roman" w:hAnsi="Times New Roman" w:eastAsia="宋体"/>
              <w:bCs/>
              <w:highlight w:val="none"/>
              <w:lang w:val="en-US" w:eastAsia="zh-CN"/>
            </w:rPr>
            <w:t>气象</w:t>
          </w:r>
          <w:r>
            <w:rPr>
              <w:rFonts w:hint="eastAsia" w:eastAsia="宋体"/>
              <w:bCs/>
              <w:highlight w:val="none"/>
              <w:lang w:val="en-US" w:eastAsia="zh-CN"/>
            </w:rPr>
            <w:t>特征</w:t>
          </w:r>
          <w:r>
            <w:tab/>
          </w:r>
          <w:r>
            <w:fldChar w:fldCharType="begin"/>
          </w:r>
          <w:r>
            <w:instrText xml:space="preserve"> PAGEREF _Toc5403 \h </w:instrText>
          </w:r>
          <w:r>
            <w:fldChar w:fldCharType="separate"/>
          </w:r>
          <w:r>
            <w:t>95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_Toc20965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5.</w:t>
          </w:r>
          <w:r>
            <w:rPr>
              <w:rFonts w:hint="eastAsia" w:eastAsia="宋体"/>
              <w:bCs w:val="0"/>
              <w:highlight w:val="none"/>
              <w:lang w:val="en-US" w:eastAsia="zh-CN"/>
            </w:rPr>
            <w:t>2</w:t>
          </w:r>
          <w:r>
            <w:rPr>
              <w:rFonts w:hint="eastAsia" w:ascii="Times New Roman" w:hAnsi="Times New Roman" w:eastAsia="宋体"/>
              <w:bCs w:val="0"/>
              <w:highlight w:val="none"/>
            </w:rPr>
            <w:t>.2 大气环境影响分析</w:t>
          </w:r>
          <w:r>
            <w:tab/>
          </w:r>
          <w:r>
            <w:fldChar w:fldCharType="begin"/>
          </w:r>
          <w:r>
            <w:instrText xml:space="preserve"> PAGEREF _Toc20965 \h </w:instrText>
          </w:r>
          <w:r>
            <w:fldChar w:fldCharType="separate"/>
          </w:r>
          <w:r>
            <w:t>98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_Toc27144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5.</w:t>
          </w:r>
          <w:r>
            <w:rPr>
              <w:rFonts w:hint="eastAsia" w:eastAsia="宋体"/>
              <w:bCs w:val="0"/>
              <w:highlight w:val="none"/>
              <w:lang w:val="en-US" w:eastAsia="zh-CN"/>
            </w:rPr>
            <w:t>2</w:t>
          </w:r>
          <w:r>
            <w:rPr>
              <w:rFonts w:hint="eastAsia" w:ascii="Times New Roman" w:hAnsi="Times New Roman" w:eastAsia="宋体"/>
              <w:bCs w:val="0"/>
              <w:highlight w:val="none"/>
            </w:rPr>
            <w:t>.3 主要污染物的排放量核算</w:t>
          </w:r>
          <w:r>
            <w:tab/>
          </w:r>
          <w:r>
            <w:fldChar w:fldCharType="begin"/>
          </w:r>
          <w:r>
            <w:instrText xml:space="preserve"> PAGEREF _Toc27144 \h </w:instrText>
          </w:r>
          <w:r>
            <w:fldChar w:fldCharType="separate"/>
          </w:r>
          <w:r>
            <w:t>100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_Toc3852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highlight w:val="none"/>
              <w:lang w:val="en-US" w:eastAsia="zh-CN"/>
            </w:rPr>
            <w:t>5.2.4 环境空气影响与预测分析</w:t>
          </w:r>
          <w:r>
            <w:tab/>
          </w:r>
          <w:r>
            <w:fldChar w:fldCharType="begin"/>
          </w:r>
          <w:r>
            <w:instrText xml:space="preserve"> PAGEREF _Toc3852 \h </w:instrText>
          </w:r>
          <w:r>
            <w:fldChar w:fldCharType="separate"/>
          </w:r>
          <w:r>
            <w:t>102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_Toc3308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highlight w:val="none"/>
              <w:lang w:val="en-US" w:eastAsia="zh-CN"/>
            </w:rPr>
            <w:t>5.2.5 大气环境防护距离</w:t>
          </w:r>
          <w:r>
            <w:tab/>
          </w:r>
          <w:r>
            <w:fldChar w:fldCharType="begin"/>
          </w:r>
          <w:r>
            <w:instrText xml:space="preserve"> PAGEREF _Toc3308 \h </w:instrText>
          </w:r>
          <w:r>
            <w:fldChar w:fldCharType="separate"/>
          </w:r>
          <w:r>
            <w:t>102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_Toc27891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w:t>
          </w:r>
          <w:r>
            <w:rPr>
              <w:rFonts w:hint="eastAsia" w:eastAsia="宋体"/>
              <w:bCs w:val="0"/>
              <w:highlight w:val="none"/>
              <w:lang w:val="en-US" w:eastAsia="zh-CN"/>
            </w:rPr>
            <w:t xml:space="preserve">6 </w:t>
          </w:r>
          <w:r>
            <w:rPr>
              <w:rFonts w:hint="eastAsia" w:ascii="Times New Roman" w:hAnsi="Times New Roman" w:eastAsia="宋体"/>
              <w:bCs w:val="0"/>
              <w:highlight w:val="none"/>
              <w:lang w:val="en-US" w:eastAsia="zh-CN"/>
            </w:rPr>
            <w:t>大气环境影响评价自查表</w:t>
          </w:r>
          <w:r>
            <w:tab/>
          </w:r>
          <w:r>
            <w:fldChar w:fldCharType="begin"/>
          </w:r>
          <w:r>
            <w:instrText xml:space="preserve"> PAGEREF _Toc27891 \h </w:instrText>
          </w:r>
          <w:r>
            <w:fldChar w:fldCharType="separate"/>
          </w:r>
          <w:r>
            <w:t>102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_Toc7832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5.</w:t>
          </w:r>
          <w:r>
            <w:rPr>
              <w:rFonts w:hint="eastAsia" w:eastAsia="宋体"/>
              <w:bCs w:val="0"/>
              <w:highlight w:val="none"/>
              <w:lang w:val="en-US" w:eastAsia="zh-CN"/>
            </w:rPr>
            <w:t>3</w:t>
          </w:r>
          <w:r>
            <w:rPr>
              <w:rFonts w:hint="eastAsia" w:ascii="Times New Roman" w:hAnsi="Times New Roman" w:eastAsia="宋体"/>
              <w:bCs w:val="0"/>
              <w:highlight w:val="none"/>
            </w:rPr>
            <w:t xml:space="preserve"> 水环境影响分析</w:t>
          </w:r>
          <w:r>
            <w:tab/>
          </w:r>
          <w:r>
            <w:fldChar w:fldCharType="begin"/>
          </w:r>
          <w:r>
            <w:instrText xml:space="preserve"> PAGEREF _Toc7832 \h </w:instrText>
          </w:r>
          <w:r>
            <w:fldChar w:fldCharType="separate"/>
          </w:r>
          <w:r>
            <w:t>106</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_Toc14447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噪声环境影响分析</w:t>
          </w:r>
          <w:r>
            <w:tab/>
          </w:r>
          <w:r>
            <w:fldChar w:fldCharType="begin"/>
          </w:r>
          <w:r>
            <w:instrText xml:space="preserve"> PAGEREF _Toc14447 \h </w:instrText>
          </w:r>
          <w:r>
            <w:fldChar w:fldCharType="separate"/>
          </w:r>
          <w:r>
            <w:t>106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_Toc12997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.1 工业场地噪声</w:t>
          </w:r>
          <w:r>
            <w:tab/>
          </w:r>
          <w:r>
            <w:fldChar w:fldCharType="begin"/>
          </w:r>
          <w:r>
            <w:instrText xml:space="preserve"> PAGEREF _Toc12997 \h </w:instrText>
          </w:r>
          <w:r>
            <w:fldChar w:fldCharType="separate"/>
          </w:r>
          <w:r>
            <w:t>106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_Toc12196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.2运输噪声影响分析</w:t>
          </w:r>
          <w:r>
            <w:tab/>
          </w:r>
          <w:r>
            <w:fldChar w:fldCharType="begin"/>
          </w:r>
          <w:r>
            <w:instrText xml:space="preserve"> PAGEREF _Toc12196 \h </w:instrText>
          </w:r>
          <w:r>
            <w:fldChar w:fldCharType="separate"/>
          </w:r>
          <w:r>
            <w:t>109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_Toc27411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5</w:t>
          </w:r>
          <w:r>
            <w:rPr>
              <w:rFonts w:hint="eastAsia" w:ascii="Times New Roman" w:hAnsi="Times New Roman" w:eastAsia="宋体"/>
              <w:bCs w:val="0"/>
              <w:highlight w:val="none"/>
              <w:lang w:val="en-US" w:eastAsia="zh-CN"/>
            </w:rPr>
            <w:t xml:space="preserve"> 固体废物环境影响评价</w:t>
          </w:r>
          <w:r>
            <w:tab/>
          </w:r>
          <w:r>
            <w:fldChar w:fldCharType="begin"/>
          </w:r>
          <w:r>
            <w:instrText xml:space="preserve"> PAGEREF _Toc27411 \h </w:instrText>
          </w:r>
          <w:r>
            <w:fldChar w:fldCharType="separate"/>
          </w:r>
          <w:r>
            <w:t>111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_Toc405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 xml:space="preserve"> 生态环境影响分析</w:t>
          </w:r>
          <w:r>
            <w:tab/>
          </w:r>
          <w:r>
            <w:fldChar w:fldCharType="begin"/>
          </w:r>
          <w:r>
            <w:instrText xml:space="preserve"> PAGEREF _Toc405 \h </w:instrText>
          </w:r>
          <w:r>
            <w:fldChar w:fldCharType="separate"/>
          </w:r>
          <w:r>
            <w:t>111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_Toc1745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.1 对土地利用的影响</w:t>
          </w:r>
          <w:r>
            <w:tab/>
          </w:r>
          <w:r>
            <w:fldChar w:fldCharType="begin"/>
          </w:r>
          <w:r>
            <w:instrText xml:space="preserve"> PAGEREF _Toc1745 \h </w:instrText>
          </w:r>
          <w:r>
            <w:fldChar w:fldCharType="separate"/>
          </w:r>
          <w:r>
            <w:t>111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_Toc29508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.2 对水土流失的影响</w:t>
          </w:r>
          <w:r>
            <w:tab/>
          </w:r>
          <w:r>
            <w:fldChar w:fldCharType="begin"/>
          </w:r>
          <w:r>
            <w:instrText xml:space="preserve"> PAGEREF _Toc29508 \h </w:instrText>
          </w:r>
          <w:r>
            <w:fldChar w:fldCharType="separate"/>
          </w:r>
          <w:r>
            <w:t>112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_Toc30245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.3 对土壤植物资源的影响</w:t>
          </w:r>
          <w:r>
            <w:tab/>
          </w:r>
          <w:r>
            <w:fldChar w:fldCharType="begin"/>
          </w:r>
          <w:r>
            <w:instrText xml:space="preserve"> PAGEREF _Toc30245 \h </w:instrText>
          </w:r>
          <w:r>
            <w:fldChar w:fldCharType="separate"/>
          </w:r>
          <w:r>
            <w:t>112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_Toc7877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.4 对动物资源的影响</w:t>
          </w:r>
          <w:r>
            <w:tab/>
          </w:r>
          <w:r>
            <w:fldChar w:fldCharType="begin"/>
          </w:r>
          <w:r>
            <w:instrText xml:space="preserve"> PAGEREF _Toc7877 \h </w:instrText>
          </w:r>
          <w:r>
            <w:fldChar w:fldCharType="separate"/>
          </w:r>
          <w:r>
            <w:t>113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_Toc13133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.5 对景观环境的影响</w:t>
          </w:r>
          <w:r>
            <w:tab/>
          </w:r>
          <w:r>
            <w:fldChar w:fldCharType="begin"/>
          </w:r>
          <w:r>
            <w:instrText xml:space="preserve"> PAGEREF _Toc13133 \h </w:instrText>
          </w:r>
          <w:r>
            <w:fldChar w:fldCharType="separate"/>
          </w:r>
          <w:r>
            <w:t>114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_Toc9198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.6 对生态功能影响</w:t>
          </w:r>
          <w:r>
            <w:tab/>
          </w:r>
          <w:r>
            <w:fldChar w:fldCharType="begin"/>
          </w:r>
          <w:r>
            <w:instrText xml:space="preserve"> PAGEREF _Toc9198 \h </w:instrText>
          </w:r>
          <w:r>
            <w:fldChar w:fldCharType="separate"/>
          </w:r>
          <w:r>
            <w:t>114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_Toc31503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.7 小结</w:t>
          </w:r>
          <w:r>
            <w:tab/>
          </w:r>
          <w:r>
            <w:fldChar w:fldCharType="begin"/>
          </w:r>
          <w:r>
            <w:instrText xml:space="preserve"> PAGEREF _Toc31503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_Toc8078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7</w:t>
          </w:r>
          <w:r>
            <w:rPr>
              <w:rFonts w:hint="eastAsia" w:ascii="Times New Roman" w:hAnsi="Times New Roman" w:eastAsia="宋体"/>
              <w:bCs w:val="0"/>
              <w:highlight w:val="none"/>
              <w:lang w:val="en-US" w:eastAsia="zh-CN"/>
            </w:rPr>
            <w:t xml:space="preserve"> 运输道路沿线影响分析</w:t>
          </w:r>
          <w:r>
            <w:tab/>
          </w:r>
          <w:r>
            <w:fldChar w:fldCharType="begin"/>
          </w:r>
          <w:r>
            <w:instrText xml:space="preserve"> PAGEREF _Toc8078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7</w:t>
          </w:r>
          <w:r>
            <w:rPr>
              <w:rFonts w:hint="eastAsia" w:ascii="Times New Roman" w:hAnsi="Times New Roman" w:eastAsia="宋体"/>
              <w:bCs w:val="0"/>
              <w:highlight w:val="none"/>
              <w:lang w:val="en-US" w:eastAsia="zh-CN"/>
            </w:rPr>
            <w:t>.1 运输路线方案</w:t>
          </w:r>
          <w:r>
            <w:tab/>
          </w:r>
          <w:r>
            <w:fldChar w:fldCharType="begin"/>
          </w:r>
          <w:r>
            <w:instrText xml:space="preserve"> PAGEREF _Toc1433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_Toc9552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7</w:t>
          </w:r>
          <w:r>
            <w:rPr>
              <w:rFonts w:hint="eastAsia" w:ascii="Times New Roman" w:hAnsi="Times New Roman" w:eastAsia="宋体"/>
              <w:bCs w:val="0"/>
              <w:highlight w:val="none"/>
              <w:lang w:val="en-US" w:eastAsia="zh-CN"/>
            </w:rPr>
            <w:t>.2 运输路线沿途影响分析</w:t>
          </w:r>
          <w:r>
            <w:tab/>
          </w:r>
          <w:r>
            <w:fldChar w:fldCharType="begin"/>
          </w:r>
          <w:r>
            <w:instrText xml:space="preserve"> PAGEREF _Toc9552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_Toc11095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 xml:space="preserve"> 闭矿后环境影响分析</w:t>
          </w:r>
          <w:r>
            <w:tab/>
          </w:r>
          <w:r>
            <w:fldChar w:fldCharType="begin"/>
          </w:r>
          <w:r>
            <w:instrText xml:space="preserve"> PAGEREF _Toc11095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_Toc6574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.1 生态环境影响分析</w:t>
          </w:r>
          <w:r>
            <w:tab/>
          </w:r>
          <w:r>
            <w:fldChar w:fldCharType="begin"/>
          </w:r>
          <w:r>
            <w:instrText xml:space="preserve"> PAGEREF _Toc6574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_Toc32143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.2 大气环境影响分析</w:t>
          </w:r>
          <w:r>
            <w:tab/>
          </w:r>
          <w:r>
            <w:fldChar w:fldCharType="begin"/>
          </w:r>
          <w:r>
            <w:instrText xml:space="preserve"> PAGEREF _Toc32143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_Toc29870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.3 水环境影响分析</w:t>
          </w:r>
          <w:r>
            <w:tab/>
          </w:r>
          <w:r>
            <w:fldChar w:fldCharType="begin"/>
          </w:r>
          <w:r>
            <w:instrText xml:space="preserve"> PAGEREF _Toc29870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_Toc22718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.4 固废影响分析</w:t>
          </w:r>
          <w:r>
            <w:tab/>
          </w:r>
          <w:r>
            <w:fldChar w:fldCharType="begin"/>
          </w:r>
          <w:r>
            <w:instrText xml:space="preserve"> PAGEREF _Toc22718 \h </w:instrText>
          </w:r>
          <w:r>
            <w:fldChar w:fldCharType="separate"/>
          </w:r>
          <w:r>
            <w:t>117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_Toc31539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.5 声环境影响分析</w:t>
          </w:r>
          <w:r>
            <w:tab/>
          </w:r>
          <w:r>
            <w:fldChar w:fldCharType="begin"/>
          </w:r>
          <w:r>
            <w:instrText xml:space="preserve"> PAGEREF _Toc31539 \h </w:instrText>
          </w:r>
          <w:r>
            <w:fldChar w:fldCharType="separate"/>
          </w:r>
          <w:r>
            <w:t>117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_Toc26387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.6 小结</w:t>
          </w:r>
          <w:r>
            <w:tab/>
          </w:r>
          <w:r>
            <w:fldChar w:fldCharType="begin"/>
          </w:r>
          <w:r>
            <w:instrText xml:space="preserve"> PAGEREF _Toc26387 \h </w:instrText>
          </w:r>
          <w:r>
            <w:fldChar w:fldCharType="separate"/>
          </w:r>
          <w:r>
            <w:t>117</w:t>
          </w:r>
          <w:r>
            <w:fldChar w:fldCharType="end"/>
          </w:r>
          <w:r>
            <w:rPr>
              <w:rFonts w:ascii="Times New Roman" w:hAnsi="Times New Roman" w:eastAsia="宋体"/>
              <w:bCs/>
              <w:color w:val="auto"/>
              <w:highlight w:val="none"/>
              <w:lang w:val="zh-CN"/>
            </w:rPr>
            <w:fldChar w:fldCharType="end"/>
          </w:r>
        </w:p>
        <w:p>
          <w:pPr>
            <w:pStyle w:val="24"/>
            <w:tabs>
              <w:tab w:val="right" w:pos="3200"/>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_Toc11305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6"/>
              <w:highlight w:val="none"/>
              <w:lang w:val="en-US" w:eastAsia="zh-CN"/>
            </w:rPr>
            <w:t>6</w:t>
          </w:r>
          <w:r>
            <w:rPr>
              <w:rFonts w:hint="eastAsia" w:ascii="Times New Roman" w:hAnsi="Times New Roman" w:eastAsia="宋体"/>
              <w:bCs w:val="0"/>
              <w:szCs w:val="36"/>
              <w:highlight w:val="none"/>
              <w:lang w:eastAsia="zh-CN"/>
            </w:rPr>
            <w:tab/>
          </w:r>
          <w:r>
            <w:rPr>
              <w:rFonts w:hint="eastAsia" w:ascii="Times New Roman" w:hAnsi="Times New Roman" w:eastAsia="宋体"/>
              <w:bCs w:val="0"/>
              <w:szCs w:val="36"/>
              <w:highlight w:val="none"/>
              <w:lang w:eastAsia="zh-CN"/>
            </w:rPr>
            <w:t>环境风险分析</w:t>
          </w:r>
          <w:r>
            <w:tab/>
          </w:r>
          <w:r>
            <w:fldChar w:fldCharType="begin"/>
          </w:r>
          <w:r>
            <w:instrText xml:space="preserve"> PAGEREF _Toc11305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_Toc31603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 评价依据</w:t>
          </w:r>
          <w:r>
            <w:tab/>
          </w:r>
          <w:r>
            <w:fldChar w:fldCharType="begin"/>
          </w:r>
          <w:r>
            <w:instrText xml:space="preserve"> PAGEREF _Toc31603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_Toc18400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6.1.1 风险调查</w:t>
          </w:r>
          <w:r>
            <w:tab/>
          </w:r>
          <w:r>
            <w:fldChar w:fldCharType="begin"/>
          </w:r>
          <w:r>
            <w:instrText xml:space="preserve"> PAGEREF _Toc18400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_Toc12779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6.1.2 环境风险潜势初判</w:t>
          </w:r>
          <w:r>
            <w:tab/>
          </w:r>
          <w:r>
            <w:fldChar w:fldCharType="begin"/>
          </w:r>
          <w:r>
            <w:instrText xml:space="preserve"> PAGEREF _Toc12779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_Toc19266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6.1.3 评价等级</w:t>
          </w:r>
          <w:r>
            <w:tab/>
          </w:r>
          <w:r>
            <w:fldChar w:fldCharType="begin"/>
          </w:r>
          <w:r>
            <w:instrText xml:space="preserve"> PAGEREF _Toc19266 \h </w:instrText>
          </w:r>
          <w:r>
            <w:fldChar w:fldCharType="separate"/>
          </w:r>
          <w:r>
            <w:t>119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_Toc26758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 xml:space="preserve"> 风险识别</w:t>
          </w:r>
          <w:r>
            <w:tab/>
          </w:r>
          <w:r>
            <w:fldChar w:fldCharType="begin"/>
          </w:r>
          <w:r>
            <w:instrText xml:space="preserve"> PAGEREF _Toc26758 \h </w:instrText>
          </w:r>
          <w:r>
            <w:fldChar w:fldCharType="separate"/>
          </w:r>
          <w:r>
            <w:t>119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_Toc17874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.1 环境风险识别内容</w:t>
          </w:r>
          <w:r>
            <w:tab/>
          </w:r>
          <w:r>
            <w:fldChar w:fldCharType="begin"/>
          </w:r>
          <w:r>
            <w:instrText xml:space="preserve"> PAGEREF _Toc17874 \h </w:instrText>
          </w:r>
          <w:r>
            <w:fldChar w:fldCharType="separate"/>
          </w:r>
          <w:r>
            <w:t>119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_Toc31698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.2 环境风险识别结果</w:t>
          </w:r>
          <w:r>
            <w:tab/>
          </w:r>
          <w:r>
            <w:fldChar w:fldCharType="begin"/>
          </w:r>
          <w:r>
            <w:instrText xml:space="preserve"> PAGEREF _Toc31698 \h </w:instrText>
          </w:r>
          <w:r>
            <w:fldChar w:fldCharType="separate"/>
          </w:r>
          <w:r>
            <w:t>120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_Toc26778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环境风险分析</w:t>
          </w:r>
          <w:r>
            <w:tab/>
          </w:r>
          <w:r>
            <w:fldChar w:fldCharType="begin"/>
          </w:r>
          <w:r>
            <w:instrText xml:space="preserve"> PAGEREF _Toc26778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_Toc19615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.1 采场</w:t>
          </w:r>
          <w:r>
            <w:rPr>
              <w:rFonts w:hint="eastAsia" w:eastAsia="宋体"/>
              <w:bCs w:val="0"/>
              <w:highlight w:val="none"/>
              <w:lang w:val="en-US" w:eastAsia="zh-CN"/>
            </w:rPr>
            <w:t>滑坡</w:t>
          </w:r>
          <w:r>
            <w:rPr>
              <w:rFonts w:hint="eastAsia" w:ascii="Times New Roman" w:hAnsi="Times New Roman" w:eastAsia="宋体"/>
              <w:bCs w:val="0"/>
              <w:highlight w:val="none"/>
              <w:lang w:val="en-US" w:eastAsia="zh-CN"/>
            </w:rPr>
            <w:t>风险分析</w:t>
          </w:r>
          <w:r>
            <w:tab/>
          </w:r>
          <w:r>
            <w:fldChar w:fldCharType="begin"/>
          </w:r>
          <w:r>
            <w:instrText xml:space="preserve"> PAGEREF _Toc19615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_Toc23908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 xml:space="preserve">.3 </w:t>
          </w:r>
          <w:r>
            <w:rPr>
              <w:rFonts w:hint="eastAsia" w:eastAsia="宋体"/>
              <w:bCs w:val="0"/>
              <w:highlight w:val="none"/>
              <w:lang w:val="en-US" w:eastAsia="zh-CN"/>
            </w:rPr>
            <w:t>成品</w:t>
          </w:r>
          <w:r>
            <w:rPr>
              <w:rFonts w:hint="eastAsia" w:ascii="Times New Roman" w:hAnsi="Times New Roman" w:eastAsia="宋体"/>
              <w:bCs w:val="0"/>
              <w:highlight w:val="none"/>
              <w:lang w:val="en-US" w:eastAsia="zh-CN"/>
            </w:rPr>
            <w:t>堆场风险分析</w:t>
          </w:r>
          <w:r>
            <w:tab/>
          </w:r>
          <w:r>
            <w:fldChar w:fldCharType="begin"/>
          </w:r>
          <w:r>
            <w:instrText xml:space="preserve"> PAGEREF _Toc23908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 xml:space="preserve"> 环境风险防治措施及应急要求</w:t>
          </w:r>
          <w:r>
            <w:tab/>
          </w:r>
          <w:r>
            <w:fldChar w:fldCharType="begin"/>
          </w:r>
          <w:r>
            <w:instrText xml:space="preserve"> PAGEREF _Toc199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_Toc12539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.1  采场风险防治措施</w:t>
          </w:r>
          <w:r>
            <w:tab/>
          </w:r>
          <w:r>
            <w:fldChar w:fldCharType="begin"/>
          </w:r>
          <w:r>
            <w:instrText xml:space="preserve"> PAGEREF _Toc12539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_Toc16112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 xml:space="preserve"> 废石临时堆场风险防治措施</w:t>
          </w:r>
          <w:r>
            <w:tab/>
          </w:r>
          <w:r>
            <w:fldChar w:fldCharType="begin"/>
          </w:r>
          <w:r>
            <w:instrText xml:space="preserve"> PAGEREF _Toc16112 \h </w:instrText>
          </w:r>
          <w:r>
            <w:fldChar w:fldCharType="separate"/>
          </w:r>
          <w:r>
            <w:t>122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_Toc12367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 xml:space="preserve"> 应急措施</w:t>
          </w:r>
          <w:r>
            <w:tab/>
          </w:r>
          <w:r>
            <w:fldChar w:fldCharType="begin"/>
          </w:r>
          <w:r>
            <w:instrText xml:space="preserve"> PAGEREF _Toc12367 \h </w:instrText>
          </w:r>
          <w:r>
            <w:fldChar w:fldCharType="separate"/>
          </w:r>
          <w:r>
            <w:t>122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_Toc26027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 xml:space="preserve">5 </w:t>
          </w:r>
          <w:r>
            <w:rPr>
              <w:rFonts w:hint="eastAsia" w:ascii="Times New Roman" w:hAnsi="Times New Roman" w:eastAsia="宋体"/>
              <w:bCs w:val="0"/>
              <w:highlight w:val="none"/>
              <w:lang w:val="en-US" w:eastAsia="zh-CN"/>
            </w:rPr>
            <w:t>分析结论</w:t>
          </w:r>
          <w:r>
            <w:tab/>
          </w:r>
          <w:r>
            <w:fldChar w:fldCharType="begin"/>
          </w:r>
          <w:r>
            <w:instrText xml:space="preserve"> PAGEREF _Toc26027 \h </w:instrText>
          </w:r>
          <w:r>
            <w:fldChar w:fldCharType="separate"/>
          </w:r>
          <w:r>
            <w:t>124</w:t>
          </w:r>
          <w:r>
            <w:fldChar w:fldCharType="end"/>
          </w:r>
          <w:r>
            <w:rPr>
              <w:rFonts w:ascii="Times New Roman" w:hAnsi="Times New Roman" w:eastAsia="宋体"/>
              <w:bCs/>
              <w:color w:val="auto"/>
              <w:highlight w:val="none"/>
              <w:lang w:val="zh-CN"/>
            </w:rPr>
            <w:fldChar w:fldCharType="end"/>
          </w:r>
        </w:p>
        <w:p>
          <w:pPr>
            <w:pStyle w:val="24"/>
            <w:tabs>
              <w:tab w:val="right" w:pos="3200"/>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_Toc22428 </w:instrText>
          </w:r>
          <w:r>
            <w:rPr>
              <w:rFonts w:ascii="Times New Roman" w:hAnsi="Times New Roman" w:eastAsia="宋体"/>
              <w:bCs/>
              <w:highlight w:val="none"/>
              <w:lang w:val="zh-CN"/>
            </w:rPr>
            <w:fldChar w:fldCharType="separate"/>
          </w:r>
          <w:r>
            <w:rPr>
              <w:rFonts w:hint="eastAsia" w:ascii="宋体" w:hAnsi="宋体" w:eastAsia="宋体" w:cs="宋体"/>
              <w:bCs w:val="0"/>
              <w:szCs w:val="30"/>
              <w:highlight w:val="none"/>
              <w:lang w:val="en-US" w:eastAsia="zh-CN"/>
            </w:rPr>
            <w:t>7</w:t>
          </w:r>
          <w:r>
            <w:rPr>
              <w:rFonts w:hint="eastAsia" w:ascii="宋体" w:hAnsi="宋体" w:eastAsia="宋体" w:cs="宋体"/>
              <w:bCs w:val="0"/>
              <w:szCs w:val="30"/>
              <w:highlight w:val="none"/>
              <w:lang w:val="en-US" w:eastAsia="zh-CN"/>
            </w:rPr>
            <w:tab/>
          </w:r>
          <w:r>
            <w:rPr>
              <w:rFonts w:hint="eastAsia" w:ascii="宋体" w:hAnsi="宋体" w:eastAsia="宋体" w:cs="宋体"/>
              <w:bCs w:val="0"/>
              <w:szCs w:val="30"/>
              <w:highlight w:val="none"/>
              <w:lang w:val="en-US" w:eastAsia="zh-CN"/>
            </w:rPr>
            <w:t xml:space="preserve"> 环境保护措施及其可行性论证</w:t>
          </w:r>
          <w:r>
            <w:tab/>
          </w:r>
          <w:r>
            <w:fldChar w:fldCharType="begin"/>
          </w:r>
          <w:r>
            <w:instrText xml:space="preserve"> PAGEREF _Toc22428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7.1 施工期污染防治措施</w:t>
          </w:r>
          <w:r>
            <w:tab/>
          </w:r>
          <w:r>
            <w:fldChar w:fldCharType="begin"/>
          </w:r>
          <w:r>
            <w:instrText xml:space="preserve"> PAGEREF _Toc104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_Toc11286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7.1.1 施工期大气污染防治措施</w:t>
          </w:r>
          <w:r>
            <w:tab/>
          </w:r>
          <w:r>
            <w:fldChar w:fldCharType="begin"/>
          </w:r>
          <w:r>
            <w:instrText xml:space="preserve"> PAGEREF _Toc11286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_Toc4363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7.1.2 施工期水污染防治措施</w:t>
          </w:r>
          <w:r>
            <w:tab/>
          </w:r>
          <w:r>
            <w:fldChar w:fldCharType="begin"/>
          </w:r>
          <w:r>
            <w:instrText xml:space="preserve"> PAGEREF _Toc4363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_Toc23457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7.1.3 施工期噪声污染防治措施</w:t>
          </w:r>
          <w:r>
            <w:tab/>
          </w:r>
          <w:r>
            <w:fldChar w:fldCharType="begin"/>
          </w:r>
          <w:r>
            <w:instrText xml:space="preserve"> PAGEREF _Toc23457 \h </w:instrText>
          </w:r>
          <w:r>
            <w:fldChar w:fldCharType="separate"/>
          </w:r>
          <w:r>
            <w:t>126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_Toc15146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7.1.4 施工期固废污染防治措施</w:t>
          </w:r>
          <w:r>
            <w:tab/>
          </w:r>
          <w:r>
            <w:fldChar w:fldCharType="begin"/>
          </w:r>
          <w:r>
            <w:instrText xml:space="preserve"> PAGEREF _Toc15146 \h </w:instrText>
          </w:r>
          <w:r>
            <w:fldChar w:fldCharType="separate"/>
          </w:r>
          <w:r>
            <w:t>127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_Toc7073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7.1.5 施工期生态保护措施</w:t>
          </w:r>
          <w:r>
            <w:tab/>
          </w:r>
          <w:r>
            <w:fldChar w:fldCharType="begin"/>
          </w:r>
          <w:r>
            <w:instrText xml:space="preserve"> PAGEREF _Toc7073 \h </w:instrText>
          </w:r>
          <w:r>
            <w:fldChar w:fldCharType="separate"/>
          </w:r>
          <w:r>
            <w:t>127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_Toc1595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7.2 运营期污染防治措施及其可行性分析</w:t>
          </w:r>
          <w:r>
            <w:tab/>
          </w:r>
          <w:r>
            <w:fldChar w:fldCharType="begin"/>
          </w:r>
          <w:r>
            <w:instrText xml:space="preserve"> PAGEREF _Toc1595 \h </w:instrText>
          </w:r>
          <w:r>
            <w:fldChar w:fldCharType="separate"/>
          </w:r>
          <w:r>
            <w:t>128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_Toc22077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7.2.1 大气污染防治措施及其可行性分析</w:t>
          </w:r>
          <w:r>
            <w:tab/>
          </w:r>
          <w:r>
            <w:fldChar w:fldCharType="begin"/>
          </w:r>
          <w:r>
            <w:instrText xml:space="preserve"> PAGEREF _Toc22077 \h </w:instrText>
          </w:r>
          <w:r>
            <w:fldChar w:fldCharType="separate"/>
          </w:r>
          <w:r>
            <w:t>128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_Toc31783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7.2.2 水污染防治措施及其可行性分析</w:t>
          </w:r>
          <w:r>
            <w:tab/>
          </w:r>
          <w:r>
            <w:fldChar w:fldCharType="begin"/>
          </w:r>
          <w:r>
            <w:instrText xml:space="preserve"> PAGEREF _Toc31783 \h </w:instrText>
          </w:r>
          <w:r>
            <w:fldChar w:fldCharType="separate"/>
          </w:r>
          <w:r>
            <w:t>129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_Toc30372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7.2.3 噪声防治措施及其可行性分析</w:t>
          </w:r>
          <w:r>
            <w:tab/>
          </w:r>
          <w:r>
            <w:fldChar w:fldCharType="begin"/>
          </w:r>
          <w:r>
            <w:instrText xml:space="preserve"> PAGEREF _Toc30372 \h </w:instrText>
          </w:r>
          <w:r>
            <w:fldChar w:fldCharType="separate"/>
          </w:r>
          <w:r>
            <w:t>129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_Toc18925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7.2.4 固体废弃物处置措施及可行性分析</w:t>
          </w:r>
          <w:r>
            <w:tab/>
          </w:r>
          <w:r>
            <w:fldChar w:fldCharType="begin"/>
          </w:r>
          <w:r>
            <w:instrText xml:space="preserve"> PAGEREF _Toc18925 \h </w:instrText>
          </w:r>
          <w:r>
            <w:fldChar w:fldCharType="separate"/>
          </w:r>
          <w:r>
            <w:t>131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_Toc12677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7.2.5 生态环境保护措施及可行性分析</w:t>
          </w:r>
          <w:r>
            <w:tab/>
          </w:r>
          <w:r>
            <w:fldChar w:fldCharType="begin"/>
          </w:r>
          <w:r>
            <w:instrText xml:space="preserve"> PAGEREF _Toc12677 \h </w:instrText>
          </w:r>
          <w:r>
            <w:fldChar w:fldCharType="separate"/>
          </w:r>
          <w:r>
            <w:t>132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_Toc6482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7.3 环保措施、投资及环保验收</w:t>
          </w:r>
          <w:r>
            <w:tab/>
          </w:r>
          <w:r>
            <w:fldChar w:fldCharType="begin"/>
          </w:r>
          <w:r>
            <w:instrText xml:space="preserve"> PAGEREF _Toc6482 \h </w:instrText>
          </w:r>
          <w:r>
            <w:fldChar w:fldCharType="separate"/>
          </w:r>
          <w:r>
            <w:t>137</w:t>
          </w:r>
          <w:r>
            <w:fldChar w:fldCharType="end"/>
          </w:r>
          <w:r>
            <w:rPr>
              <w:rFonts w:ascii="Times New Roman" w:hAnsi="Times New Roman" w:eastAsia="宋体"/>
              <w:bCs/>
              <w:color w:val="auto"/>
              <w:highlight w:val="none"/>
              <w:lang w:val="zh-CN"/>
            </w:rPr>
            <w:fldChar w:fldCharType="end"/>
          </w:r>
        </w:p>
        <w:p>
          <w:pPr>
            <w:pStyle w:val="24"/>
            <w:tabs>
              <w:tab w:val="right" w:pos="3200"/>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_Toc32094 </w:instrText>
          </w:r>
          <w:r>
            <w:rPr>
              <w:rFonts w:ascii="Times New Roman" w:hAnsi="Times New Roman" w:eastAsia="宋体"/>
              <w:bCs/>
              <w:highlight w:val="none"/>
              <w:lang w:val="zh-CN"/>
            </w:rPr>
            <w:fldChar w:fldCharType="separate"/>
          </w:r>
          <w:r>
            <w:rPr>
              <w:rFonts w:hint="eastAsia" w:ascii="Times New Roman" w:hAnsi="Times New Roman"/>
              <w:bCs w:val="0"/>
              <w:szCs w:val="30"/>
              <w:highlight w:val="none"/>
              <w:lang w:val="en-US" w:eastAsia="zh-CN"/>
            </w:rPr>
            <w:t>8</w:t>
          </w:r>
          <w:r>
            <w:rPr>
              <w:rFonts w:hint="eastAsia" w:ascii="Times New Roman" w:hAnsi="Times New Roman"/>
              <w:bCs w:val="0"/>
              <w:szCs w:val="30"/>
              <w:highlight w:val="none"/>
              <w:lang w:val="en-US" w:eastAsia="zh-CN"/>
            </w:rPr>
            <w:tab/>
          </w:r>
          <w:r>
            <w:rPr>
              <w:rFonts w:hint="eastAsia" w:ascii="宋体" w:hAnsi="宋体" w:eastAsia="宋体" w:cs="宋体"/>
              <w:bCs w:val="0"/>
              <w:szCs w:val="30"/>
              <w:highlight w:val="none"/>
              <w:lang w:val="en-US" w:eastAsia="zh-CN"/>
            </w:rPr>
            <w:t>环境影响经济损益分析</w:t>
          </w:r>
          <w:r>
            <w:tab/>
          </w:r>
          <w:r>
            <w:fldChar w:fldCharType="begin"/>
          </w:r>
          <w:r>
            <w:instrText xml:space="preserve"> PAGEREF _Toc32094 \h </w:instrText>
          </w:r>
          <w:r>
            <w:fldChar w:fldCharType="separate"/>
          </w:r>
          <w:r>
            <w:t>139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_Toc22862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8.2.1 环境工程投资估算</w:t>
          </w:r>
          <w:r>
            <w:tab/>
          </w:r>
          <w:r>
            <w:fldChar w:fldCharType="begin"/>
          </w:r>
          <w:r>
            <w:instrText xml:space="preserve"> PAGEREF _Toc22862 \h </w:instrText>
          </w:r>
          <w:r>
            <w:fldChar w:fldCharType="separate"/>
          </w:r>
          <w:r>
            <w:t>139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_Toc24050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8.2.2 直接经济效益</w:t>
          </w:r>
          <w:r>
            <w:tab/>
          </w:r>
          <w:r>
            <w:fldChar w:fldCharType="begin"/>
          </w:r>
          <w:r>
            <w:instrText xml:space="preserve"> PAGEREF _Toc24050 \h </w:instrText>
          </w:r>
          <w:r>
            <w:fldChar w:fldCharType="separate"/>
          </w:r>
          <w:r>
            <w:t>140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_Toc13470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8.2.3 间接经济效益</w:t>
          </w:r>
          <w:r>
            <w:tab/>
          </w:r>
          <w:r>
            <w:fldChar w:fldCharType="begin"/>
          </w:r>
          <w:r>
            <w:instrText xml:space="preserve"> PAGEREF _Toc13470 \h </w:instrText>
          </w:r>
          <w:r>
            <w:fldChar w:fldCharType="separate"/>
          </w:r>
          <w:r>
            <w:t>140</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_Toc14594 </w:instrText>
          </w:r>
          <w:r>
            <w:rPr>
              <w:rFonts w:ascii="Times New Roman" w:hAnsi="Times New Roman" w:eastAsia="宋体"/>
              <w:bCs/>
              <w:highlight w:val="none"/>
              <w:lang w:val="zh-CN"/>
            </w:rPr>
            <w:fldChar w:fldCharType="separate"/>
          </w:r>
          <w:r>
            <w:rPr>
              <w:rFonts w:hint="eastAsia" w:ascii="Times New Roman" w:hAnsi="Times New Roman"/>
              <w:bCs w:val="0"/>
              <w:szCs w:val="30"/>
              <w:highlight w:val="none"/>
              <w:lang w:val="en-US" w:eastAsia="zh-CN"/>
            </w:rPr>
            <w:t xml:space="preserve">9 </w:t>
          </w:r>
          <w:r>
            <w:rPr>
              <w:rFonts w:hint="eastAsia" w:ascii="宋体" w:hAnsi="宋体" w:eastAsia="宋体" w:cs="宋体"/>
              <w:bCs w:val="0"/>
              <w:szCs w:val="30"/>
              <w:highlight w:val="none"/>
              <w:lang w:val="en-US" w:eastAsia="zh-CN"/>
            </w:rPr>
            <w:t>环境管理与监测计划</w:t>
          </w:r>
          <w:r>
            <w:tab/>
          </w:r>
          <w:r>
            <w:fldChar w:fldCharType="begin"/>
          </w:r>
          <w:r>
            <w:instrText xml:space="preserve"> PAGEREF _Toc14594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_Toc12302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9.1 环境管理</w:t>
          </w:r>
          <w:r>
            <w:tab/>
          </w:r>
          <w:r>
            <w:fldChar w:fldCharType="begin"/>
          </w:r>
          <w:r>
            <w:instrText xml:space="preserve"> PAGEREF _Toc12302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_Toc9719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9.1.1 管理机构</w:t>
          </w:r>
          <w:r>
            <w:tab/>
          </w:r>
          <w:r>
            <w:fldChar w:fldCharType="begin"/>
          </w:r>
          <w:r>
            <w:instrText xml:space="preserve"> PAGEREF _Toc9719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_Toc15363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9.1.2 环境保护管理计划</w:t>
          </w:r>
          <w:r>
            <w:tab/>
          </w:r>
          <w:r>
            <w:fldChar w:fldCharType="begin"/>
          </w:r>
          <w:r>
            <w:instrText xml:space="preserve"> PAGEREF _Toc15363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_Toc14265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9.2 环境监测计划</w:t>
          </w:r>
          <w:r>
            <w:tab/>
          </w:r>
          <w:r>
            <w:fldChar w:fldCharType="begin"/>
          </w:r>
          <w:r>
            <w:instrText xml:space="preserve"> PAGEREF _Toc14265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_Toc23417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9.2.1 监测目的及原则</w:t>
          </w:r>
          <w:r>
            <w:tab/>
          </w:r>
          <w:r>
            <w:fldChar w:fldCharType="begin"/>
          </w:r>
          <w:r>
            <w:instrText xml:space="preserve"> PAGEREF _Toc23417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_Toc31294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9.2.2 监测计划</w:t>
          </w:r>
          <w:r>
            <w:tab/>
          </w:r>
          <w:r>
            <w:fldChar w:fldCharType="begin"/>
          </w:r>
          <w:r>
            <w:instrText xml:space="preserve"> PAGEREF _Toc31294 \h </w:instrText>
          </w:r>
          <w:r>
            <w:fldChar w:fldCharType="separate"/>
          </w:r>
          <w:r>
            <w:t>143</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_Toc21459 </w:instrText>
          </w:r>
          <w:r>
            <w:rPr>
              <w:rFonts w:ascii="Times New Roman" w:hAnsi="Times New Roman" w:eastAsia="宋体"/>
              <w:bCs/>
              <w:highlight w:val="none"/>
              <w:lang w:val="zh-CN"/>
            </w:rPr>
            <w:fldChar w:fldCharType="separate"/>
          </w:r>
          <w:r>
            <w:rPr>
              <w:rFonts w:hint="eastAsia" w:ascii="Times New Roman" w:hAnsi="Times New Roman"/>
              <w:bCs w:val="0"/>
              <w:szCs w:val="30"/>
              <w:highlight w:val="none"/>
              <w:lang w:val="en-US" w:eastAsia="zh-CN"/>
            </w:rPr>
            <w:t xml:space="preserve">10 </w:t>
          </w:r>
          <w:r>
            <w:rPr>
              <w:rFonts w:hint="eastAsia" w:ascii="宋体" w:hAnsi="宋体" w:eastAsia="宋体" w:cs="宋体"/>
              <w:bCs w:val="0"/>
              <w:szCs w:val="30"/>
              <w:highlight w:val="none"/>
              <w:lang w:val="en-US" w:eastAsia="zh-CN"/>
            </w:rPr>
            <w:t>结论</w:t>
          </w:r>
          <w:r>
            <w:tab/>
          </w:r>
          <w:r>
            <w:fldChar w:fldCharType="begin"/>
          </w:r>
          <w:r>
            <w:instrText xml:space="preserve"> PAGEREF _Toc21459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_Toc27033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10.1 项目概况</w:t>
          </w:r>
          <w:r>
            <w:tab/>
          </w:r>
          <w:r>
            <w:fldChar w:fldCharType="begin"/>
          </w:r>
          <w:r>
            <w:instrText xml:space="preserve"> PAGEREF _Toc27033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_Toc13348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10.2 区域环境质量现状</w:t>
          </w:r>
          <w:r>
            <w:tab/>
          </w:r>
          <w:r>
            <w:fldChar w:fldCharType="begin"/>
          </w:r>
          <w:r>
            <w:instrText xml:space="preserve"> PAGEREF _Toc13348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_Toc5786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10.2.1 大气环境质量现状评价结论</w:t>
          </w:r>
          <w:r>
            <w:tab/>
          </w:r>
          <w:r>
            <w:fldChar w:fldCharType="begin"/>
          </w:r>
          <w:r>
            <w:instrText xml:space="preserve"> PAGEREF _Toc5786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_Toc14309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10.2.2 声环境质量现状评价结论</w:t>
          </w:r>
          <w:r>
            <w:tab/>
          </w:r>
          <w:r>
            <w:fldChar w:fldCharType="begin"/>
          </w:r>
          <w:r>
            <w:instrText xml:space="preserve"> PAGEREF _Toc14309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_Toc3378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w:t>
          </w:r>
          <w:r>
            <w:rPr>
              <w:rFonts w:hint="eastAsia" w:eastAsia="宋体"/>
              <w:bCs w:val="0"/>
              <w:szCs w:val="30"/>
              <w:highlight w:val="none"/>
              <w:lang w:val="en-US" w:eastAsia="zh-CN"/>
            </w:rPr>
            <w:t>3</w:t>
          </w:r>
          <w:r>
            <w:rPr>
              <w:rFonts w:hint="eastAsia" w:ascii="Times New Roman" w:hAnsi="Times New Roman" w:eastAsia="宋体"/>
              <w:bCs w:val="0"/>
              <w:szCs w:val="30"/>
              <w:highlight w:val="none"/>
              <w:lang w:val="en-US" w:eastAsia="zh-CN"/>
            </w:rPr>
            <w:t xml:space="preserve"> 土壤环境质量现状评价结论</w:t>
          </w:r>
          <w:r>
            <w:tab/>
          </w:r>
          <w:r>
            <w:fldChar w:fldCharType="begin"/>
          </w:r>
          <w:r>
            <w:instrText xml:space="preserve"> PAGEREF _Toc3378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_Toc26671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w:t>
          </w:r>
          <w:r>
            <w:rPr>
              <w:rFonts w:hint="eastAsia" w:eastAsia="宋体"/>
              <w:bCs w:val="0"/>
              <w:szCs w:val="30"/>
              <w:highlight w:val="none"/>
              <w:lang w:val="en-US" w:eastAsia="zh-CN"/>
            </w:rPr>
            <w:t>4</w:t>
          </w:r>
          <w:r>
            <w:rPr>
              <w:rFonts w:hint="eastAsia" w:ascii="Times New Roman" w:hAnsi="Times New Roman" w:eastAsia="宋体"/>
              <w:bCs w:val="0"/>
              <w:szCs w:val="30"/>
              <w:highlight w:val="none"/>
              <w:lang w:val="en-US" w:eastAsia="zh-CN"/>
            </w:rPr>
            <w:t xml:space="preserve"> 生态环境质量现状评价结论</w:t>
          </w:r>
          <w:r>
            <w:tab/>
          </w:r>
          <w:r>
            <w:fldChar w:fldCharType="begin"/>
          </w:r>
          <w:r>
            <w:instrText xml:space="preserve"> PAGEREF _Toc26671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_Toc29501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10.3 环境影响分析</w:t>
          </w:r>
          <w:r>
            <w:tab/>
          </w:r>
          <w:r>
            <w:fldChar w:fldCharType="begin"/>
          </w:r>
          <w:r>
            <w:instrText xml:space="preserve"> PAGEREF _Toc29501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_Toc14323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10.3.1 环境空气</w:t>
          </w:r>
          <w:r>
            <w:tab/>
          </w:r>
          <w:r>
            <w:fldChar w:fldCharType="begin"/>
          </w:r>
          <w:r>
            <w:instrText xml:space="preserve"> PAGEREF _Toc14323 \h </w:instrText>
          </w:r>
          <w:r>
            <w:fldChar w:fldCharType="separate"/>
          </w:r>
          <w:r>
            <w:t>146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_Toc19043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10.3.2 水环境</w:t>
          </w:r>
          <w:r>
            <w:tab/>
          </w:r>
          <w:r>
            <w:fldChar w:fldCharType="begin"/>
          </w:r>
          <w:r>
            <w:instrText xml:space="preserve"> PAGEREF _Toc19043 \h </w:instrText>
          </w:r>
          <w:r>
            <w:fldChar w:fldCharType="separate"/>
          </w:r>
          <w:r>
            <w:t>146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_Toc31432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10.3.3 声环境</w:t>
          </w:r>
          <w:r>
            <w:tab/>
          </w:r>
          <w:r>
            <w:fldChar w:fldCharType="begin"/>
          </w:r>
          <w:r>
            <w:instrText xml:space="preserve"> PAGEREF _Toc31432 \h </w:instrText>
          </w:r>
          <w:r>
            <w:fldChar w:fldCharType="separate"/>
          </w:r>
          <w:r>
            <w:t>146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_Toc22059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10.3.4 固体废物</w:t>
          </w:r>
          <w:r>
            <w:tab/>
          </w:r>
          <w:r>
            <w:fldChar w:fldCharType="begin"/>
          </w:r>
          <w:r>
            <w:instrText xml:space="preserve"> PAGEREF _Toc22059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_Toc21313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10.3.5 生态环境</w:t>
          </w:r>
          <w:r>
            <w:tab/>
          </w:r>
          <w:r>
            <w:fldChar w:fldCharType="begin"/>
          </w:r>
          <w:r>
            <w:instrText xml:space="preserve"> PAGEREF _Toc21313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_Toc28531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10.4 环境经济损益分析</w:t>
          </w:r>
          <w:r>
            <w:tab/>
          </w:r>
          <w:r>
            <w:fldChar w:fldCharType="begin"/>
          </w:r>
          <w:r>
            <w:instrText xml:space="preserve"> PAGEREF _Toc28531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_Toc23792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10.5 清洁生产分析</w:t>
          </w:r>
          <w:r>
            <w:tab/>
          </w:r>
          <w:r>
            <w:fldChar w:fldCharType="begin"/>
          </w:r>
          <w:r>
            <w:instrText xml:space="preserve"> PAGEREF _Toc23792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_Toc6382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10.6 公众参与</w:t>
          </w:r>
          <w:r>
            <w:tab/>
          </w:r>
          <w:r>
            <w:fldChar w:fldCharType="begin"/>
          </w:r>
          <w:r>
            <w:instrText xml:space="preserve"> PAGEREF _Toc6382 \h </w:instrText>
          </w:r>
          <w:r>
            <w:fldChar w:fldCharType="separate"/>
          </w:r>
          <w:r>
            <w:t>148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_Toc14207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10.7 综合评价结论</w:t>
          </w:r>
          <w:r>
            <w:tab/>
          </w:r>
          <w:r>
            <w:fldChar w:fldCharType="begin"/>
          </w:r>
          <w:r>
            <w:instrText xml:space="preserve"> PAGEREF _Toc14207 \h </w:instrText>
          </w:r>
          <w:r>
            <w:fldChar w:fldCharType="separate"/>
          </w:r>
          <w:r>
            <w:t>148</w:t>
          </w:r>
          <w:r>
            <w:fldChar w:fldCharType="end"/>
          </w:r>
          <w:r>
            <w:rPr>
              <w:rFonts w:ascii="Times New Roman" w:hAnsi="Times New Roman" w:eastAsia="宋体"/>
              <w:bCs/>
              <w:color w:val="auto"/>
              <w:highlight w:val="none"/>
              <w:lang w:val="zh-CN"/>
            </w:rPr>
            <w:fldChar w:fldCharType="end"/>
          </w:r>
        </w:p>
        <w:p>
          <w:pPr>
            <w:ind w:firstLine="0" w:firstLineChars="0"/>
            <w:rPr>
              <w:rFonts w:ascii="Times New Roman" w:hAnsi="Times New Roman" w:eastAsia="宋体"/>
              <w:color w:val="auto"/>
              <w:highlight w:val="yellow"/>
            </w:rPr>
          </w:pPr>
          <w:r>
            <w:rPr>
              <w:rFonts w:ascii="Times New Roman" w:hAnsi="Times New Roman" w:eastAsia="宋体"/>
              <w:bCs/>
              <w:color w:val="auto"/>
              <w:highlight w:val="none"/>
              <w:lang w:val="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eastAsia="宋体"/>
          <w:color w:val="auto"/>
          <w:sz w:val="28"/>
          <w:szCs w:val="28"/>
          <w:highlight w:val="none"/>
          <w:lang w:val="en-US" w:eastAsia="zh-CN"/>
        </w:rPr>
      </w:pPr>
      <w:r>
        <w:rPr>
          <w:rFonts w:ascii="Times New Roman" w:hAnsi="Times New Roman" w:eastAsia="宋体"/>
          <w:color w:val="auto"/>
          <w:highlight w:val="yellow"/>
        </w:rPr>
        <w:br w:type="page"/>
      </w:r>
      <w:r>
        <w:rPr>
          <w:rFonts w:hint="eastAsia" w:eastAsia="宋体"/>
          <w:b/>
          <w:bCs/>
          <w:color w:val="auto"/>
          <w:sz w:val="28"/>
          <w:szCs w:val="28"/>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附件1  委托函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附件2  越界开采罚款缴纳单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78" w:firstLineChars="171"/>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附件3 营业执照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附件4 采矿许可证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附件5 现有项目环评批复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附件6 现有项目验收意见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附件7 资源储量核实报告评审意见书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附件8 开发利用方案评审意见书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yellow"/>
          <w:lang w:val="en-US" w:eastAsia="zh-CN"/>
        </w:rPr>
      </w:pPr>
      <w:r>
        <w:rPr>
          <w:rFonts w:hint="eastAsia" w:eastAsia="宋体"/>
          <w:color w:val="auto"/>
          <w:sz w:val="28"/>
          <w:szCs w:val="28"/>
          <w:highlight w:val="none"/>
          <w:lang w:val="en-US" w:eastAsia="zh-CN"/>
        </w:rPr>
        <w:t>附件9 检测报告</w:t>
      </w:r>
    </w:p>
    <w:p>
      <w:pPr>
        <w:ind w:left="0" w:leftChars="0" w:firstLine="480" w:firstLineChars="0"/>
        <w:jc w:val="both"/>
        <w:rPr>
          <w:rFonts w:hint="eastAsia" w:eastAsia="宋体"/>
          <w:color w:val="auto"/>
          <w:highlight w:val="yellow"/>
          <w:lang w:val="en-US" w:eastAsia="zh-CN"/>
        </w:rPr>
      </w:pPr>
    </w:p>
    <w:p>
      <w:pPr>
        <w:ind w:left="0" w:leftChars="0" w:firstLine="480" w:firstLineChars="0"/>
        <w:jc w:val="both"/>
        <w:rPr>
          <w:rFonts w:hint="eastAsia" w:eastAsia="宋体"/>
          <w:lang w:val="en-US" w:eastAsia="zh-CN"/>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jc w:val="left"/>
        <w:textAlignment w:val="auto"/>
        <w:rPr>
          <w:rFonts w:ascii="Times New Roman" w:hAnsi="Times New Roman" w:eastAsia="宋体"/>
          <w:b/>
          <w:bCs w:val="0"/>
          <w:color w:val="auto"/>
          <w:sz w:val="36"/>
          <w:szCs w:val="36"/>
          <w:highlight w:val="none"/>
        </w:rPr>
      </w:pPr>
      <w:bookmarkStart w:id="0" w:name="_Toc11696"/>
      <w:r>
        <w:rPr>
          <w:rFonts w:ascii="Times New Roman" w:hAnsi="Times New Roman" w:eastAsia="宋体"/>
          <w:b/>
          <w:bCs w:val="0"/>
          <w:color w:val="auto"/>
          <w:sz w:val="36"/>
          <w:szCs w:val="36"/>
          <w:highlight w:val="none"/>
        </w:rPr>
        <w:t>1</w:t>
      </w:r>
      <w:r>
        <w:rPr>
          <w:rFonts w:hint="eastAsia" w:ascii="Times New Roman" w:hAnsi="Times New Roman" w:eastAsia="宋体"/>
          <w:b/>
          <w:bCs w:val="0"/>
          <w:color w:val="auto"/>
          <w:sz w:val="36"/>
          <w:szCs w:val="36"/>
          <w:highlight w:val="none"/>
        </w:rPr>
        <w:t xml:space="preserve"> 前言</w:t>
      </w:r>
      <w:bookmarkEnd w:id="0"/>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0"/>
        <w:textAlignment w:val="auto"/>
        <w:rPr>
          <w:rFonts w:hint="eastAsia" w:ascii="Times New Roman" w:hAnsi="Times New Roman" w:eastAsia="宋体"/>
          <w:b/>
          <w:bCs w:val="0"/>
          <w:color w:val="auto"/>
          <w:highlight w:val="none"/>
          <w:lang w:eastAsia="zh-CN"/>
        </w:rPr>
      </w:pPr>
      <w:bookmarkStart w:id="1" w:name="_Toc21434"/>
      <w:r>
        <w:rPr>
          <w:rFonts w:hint="eastAsia" w:ascii="Times New Roman" w:hAnsi="Times New Roman" w:eastAsia="宋体"/>
          <w:b/>
          <w:bCs w:val="0"/>
          <w:color w:val="auto"/>
          <w:highlight w:val="none"/>
        </w:rPr>
        <w:t xml:space="preserve">1.1 </w:t>
      </w:r>
      <w:r>
        <w:rPr>
          <w:rFonts w:hint="eastAsia" w:ascii="Times New Roman" w:hAnsi="Times New Roman" w:eastAsia="宋体" w:cstheme="majorEastAsia"/>
          <w:b/>
          <w:bCs w:val="0"/>
          <w:color w:val="auto"/>
          <w:highlight w:val="none"/>
        </w:rPr>
        <w:t>建设项目</w:t>
      </w:r>
      <w:r>
        <w:rPr>
          <w:rFonts w:hint="eastAsia" w:ascii="Times New Roman" w:hAnsi="Times New Roman" w:eastAsia="宋体" w:cstheme="majorEastAsia"/>
          <w:b/>
          <w:bCs w:val="0"/>
          <w:color w:val="auto"/>
          <w:highlight w:val="none"/>
          <w:lang w:val="en-US" w:eastAsia="zh-CN"/>
        </w:rPr>
        <w:t>特点</w:t>
      </w:r>
      <w:bookmarkEnd w:id="1"/>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rPr>
      </w:pPr>
      <w:r>
        <w:rPr>
          <w:rFonts w:hint="eastAsia" w:eastAsia="宋体"/>
          <w:color w:val="auto"/>
          <w:highlight w:val="none"/>
          <w:lang w:val="en-US" w:eastAsia="zh-CN"/>
        </w:rPr>
        <w:t>砂石是国家进行基础设施建设的重要物资资源，在水利修筑堤防、道路铺设、房屋修筑等工程建筑领域应用广泛，近年来，随着锡林郭勒盟经济社会快速发展，重点工程的全面提速，城镇和交通建设的发展，工业园区与新农村建设的稳步推进，建筑用砂需求量与日俱增，尤其是近年来，苏尼特右旗扩大内需项目，城镇基础项目的建设，使得砂石资源的需求量大增。</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sz w:val="24"/>
          <w:highlight w:val="yellow"/>
        </w:rPr>
      </w:pPr>
      <w:r>
        <w:rPr>
          <w:rFonts w:hint="eastAsia" w:ascii="Times New Roman" w:hAnsi="Times New Roman" w:eastAsia="宋体"/>
          <w:color w:val="auto"/>
          <w:highlight w:val="none"/>
          <w:lang w:eastAsia="zh-CN"/>
        </w:rPr>
        <w:t>苏尼特右旗巴润宝力格采砂场位于内蒙古自治区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行政区划隶属于锡林郭勒盟</w:t>
      </w:r>
      <w:r>
        <w:rPr>
          <w:rFonts w:hint="eastAsia" w:eastAsia="宋体"/>
          <w:color w:val="auto"/>
          <w:highlight w:val="none"/>
          <w:lang w:val="en-US" w:eastAsia="zh-CN"/>
        </w:rPr>
        <w:t>苏尼特右旗</w:t>
      </w:r>
      <w:r>
        <w:rPr>
          <w:rFonts w:hint="eastAsia" w:ascii="Times New Roman" w:hAnsi="Times New Roman" w:eastAsia="宋体"/>
          <w:color w:val="auto"/>
          <w:highlight w:val="none"/>
          <w:lang w:val="en-US" w:eastAsia="zh-CN"/>
        </w:rPr>
        <w:t>朱日和镇管辖。其地</w:t>
      </w:r>
      <w:r>
        <w:rPr>
          <w:rFonts w:hint="eastAsia" w:ascii="Times New Roman" w:hAnsi="Times New Roman" w:eastAsia="宋体" w:cs="Times New Roman"/>
          <w:color w:val="auto"/>
          <w:highlight w:val="none"/>
          <w:lang w:val="en-US" w:eastAsia="zh-CN"/>
        </w:rPr>
        <w:t>理</w:t>
      </w:r>
      <w:r>
        <w:rPr>
          <w:rFonts w:hint="eastAsia" w:eastAsia="宋体" w:cs="Times New Roman"/>
          <w:color w:val="auto"/>
          <w:highlight w:val="none"/>
          <w:lang w:val="en-US" w:eastAsia="zh-CN"/>
        </w:rPr>
        <w:t>中心</w:t>
      </w:r>
      <w:r>
        <w:rPr>
          <w:rFonts w:hint="eastAsia" w:ascii="Times New Roman" w:hAnsi="Times New Roman" w:eastAsia="宋体" w:cs="Times New Roman"/>
          <w:color w:val="auto"/>
          <w:highlight w:val="none"/>
          <w:lang w:val="en-US" w:eastAsia="zh-CN"/>
        </w:rPr>
        <w:t>坐标为：东经</w:t>
      </w:r>
      <w:r>
        <w:rPr>
          <w:rFonts w:hint="default" w:ascii="Times New Roman" w:hAnsi="Times New Roman" w:eastAsia="宋体" w:cs="Times New Roman"/>
          <w:color w:val="auto"/>
          <w:highlight w:val="none"/>
          <w:lang w:val="en-US" w:eastAsia="zh-CN"/>
        </w:rPr>
        <w:t>11</w:t>
      </w:r>
      <w:r>
        <w:rPr>
          <w:rFonts w:hint="eastAsia"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51</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45.34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；北纬</w:t>
      </w:r>
      <w:r>
        <w:rPr>
          <w:rFonts w:hint="default" w:ascii="Times New Roman" w:hAnsi="Times New Roman" w:eastAsia="宋体" w:cs="Times New Roman"/>
          <w:color w:val="auto"/>
          <w:highlight w:val="none"/>
          <w:lang w:val="en-US" w:eastAsia="zh-CN"/>
        </w:rPr>
        <w:t>42°</w:t>
      </w:r>
      <w:r>
        <w:rPr>
          <w:rFonts w:hint="eastAsia" w:eastAsia="宋体" w:cs="Times New Roman"/>
          <w:color w:val="auto"/>
          <w:highlight w:val="none"/>
          <w:lang w:val="en-US" w:eastAsia="zh-CN"/>
        </w:rPr>
        <w:t>28</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10.54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于</w:t>
      </w:r>
      <w:r>
        <w:rPr>
          <w:rFonts w:hint="eastAsia" w:ascii="Times New Roman" w:hAnsi="Times New Roman" w:eastAsia="宋体"/>
          <w:color w:val="auto"/>
          <w:highlight w:val="none"/>
          <w:lang w:val="en-US" w:eastAsia="zh-CN"/>
        </w:rPr>
        <w:t>20</w:t>
      </w:r>
      <w:r>
        <w:rPr>
          <w:rFonts w:hint="eastAsia" w:eastAsia="宋体"/>
          <w:color w:val="auto"/>
          <w:highlight w:val="none"/>
          <w:lang w:val="en-US" w:eastAsia="zh-CN"/>
        </w:rPr>
        <w:t>14</w:t>
      </w:r>
      <w:r>
        <w:rPr>
          <w:rFonts w:hint="eastAsia" w:ascii="Times New Roman" w:hAnsi="Times New Roman" w:eastAsia="宋体"/>
          <w:color w:val="auto"/>
          <w:highlight w:val="none"/>
          <w:lang w:val="en-US" w:eastAsia="zh-CN"/>
        </w:rPr>
        <w:t>年1</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月</w:t>
      </w:r>
      <w:r>
        <w:rPr>
          <w:rFonts w:hint="eastAsia" w:eastAsia="宋体"/>
          <w:color w:val="auto"/>
          <w:highlight w:val="none"/>
          <w:lang w:val="en-US" w:eastAsia="zh-CN"/>
        </w:rPr>
        <w:t>委托内蒙古新创环境科技有限公司编制完成《苏尼特右旗巴润宝力格采砂场项目环境影响报告表》，于2015年4月7日取得原苏尼特右旗环境保护局</w:t>
      </w:r>
      <w:r>
        <w:rPr>
          <w:rFonts w:hint="eastAsia" w:ascii="Times New Roman" w:hAnsi="Times New Roman" w:eastAsia="宋体"/>
          <w:color w:val="auto"/>
          <w:highlight w:val="none"/>
          <w:lang w:val="en-US" w:eastAsia="zh-CN"/>
        </w:rPr>
        <w:t>环评批复</w:t>
      </w:r>
      <w:r>
        <w:rPr>
          <w:rFonts w:hint="eastAsia" w:eastAsia="宋体"/>
          <w:color w:val="auto"/>
          <w:highlight w:val="none"/>
          <w:lang w:val="en-US" w:eastAsia="zh-CN"/>
        </w:rPr>
        <w:t>文件，文号：苏右环审书[2015]1号；2019年10月委托锡林郭勒盟鑫创绿环境治理服务有限公司对《苏尼特右旗巴润宝力格采砂场项目竣工环境保护验收调查报告》，于2019年12月7日通过</w:t>
      </w:r>
      <w:r>
        <w:rPr>
          <w:rFonts w:hint="eastAsia" w:ascii="Times New Roman" w:hAnsi="Times New Roman" w:eastAsia="宋体"/>
          <w:color w:val="auto"/>
          <w:highlight w:val="none"/>
          <w:lang w:val="en-US" w:eastAsia="zh-CN"/>
        </w:rPr>
        <w:t>验收</w:t>
      </w:r>
      <w:r>
        <w:rPr>
          <w:rFonts w:hint="eastAsia" w:eastAsia="宋体"/>
          <w:color w:val="auto"/>
          <w:highlight w:val="none"/>
          <w:lang w:val="en-US" w:eastAsia="zh-CN"/>
        </w:rPr>
        <w:t>专家组评审</w:t>
      </w:r>
      <w:r>
        <w:rPr>
          <w:rFonts w:hint="eastAsia" w:ascii="Times New Roman" w:hAnsi="Times New Roman" w:eastAsia="宋体"/>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yellow"/>
          <w:lang w:val="en-US" w:eastAsia="zh-CN"/>
        </w:rPr>
      </w:pPr>
      <w:r>
        <w:rPr>
          <w:rFonts w:hint="eastAsia" w:eastAsia="宋体"/>
          <w:color w:val="FF0000"/>
          <w:highlight w:val="none"/>
          <w:lang w:val="en-US" w:eastAsia="zh-CN"/>
        </w:rPr>
        <w:t>根据《关于回复苏尼特右旗巴润宝力格采砂场申请核查巴润宝力格采砂场是否位于各类自然保护区内及影响河道行洪和水源的区域的函》（苏右水函[2020]42号）（苏尼特右旗水利局）文件，“巴润宝力格采砂场”采矿登记范围占用了部分河道，通过资源储量核实工作对原采矿权范围进行缩减，让出占用河道区域。采矿区范围由0.1190k</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，减少为0.103km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，开采深度不变。</w:t>
      </w:r>
      <w:r>
        <w:rPr>
          <w:rFonts w:hint="eastAsia" w:ascii="Times New Roman" w:hAnsi="Times New Roman" w:eastAsia="宋体"/>
          <w:color w:val="FF0000"/>
          <w:highlight w:val="none"/>
          <w:lang w:val="en-US" w:eastAsia="zh-CN"/>
        </w:rPr>
        <w:t>由于</w:t>
      </w:r>
      <w:r>
        <w:rPr>
          <w:rFonts w:hint="eastAsia" w:eastAsia="宋体"/>
          <w:color w:val="FF0000"/>
          <w:highlight w:val="none"/>
          <w:lang w:val="en-US" w:eastAsia="zh-CN"/>
        </w:rPr>
        <w:t>砂石</w:t>
      </w:r>
      <w:r>
        <w:rPr>
          <w:rFonts w:hint="eastAsia" w:ascii="Times New Roman" w:hAnsi="Times New Roman" w:eastAsia="宋体"/>
          <w:color w:val="FF0000"/>
          <w:highlight w:val="none"/>
          <w:lang w:val="en-US" w:eastAsia="zh-CN"/>
        </w:rPr>
        <w:t>市场</w:t>
      </w:r>
      <w:r>
        <w:rPr>
          <w:rFonts w:hint="eastAsia" w:eastAsia="宋体"/>
          <w:color w:val="FF0000"/>
          <w:highlight w:val="none"/>
          <w:lang w:val="en-US" w:eastAsia="zh-CN"/>
        </w:rPr>
        <w:t>需求量增加，企业决定扩大年开采量，由2×10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/a增加至6×10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/a，并根据原砂质量及市场需求，新增一套水洗砂处理设备，处理能力为</w:t>
      </w:r>
      <w:r>
        <w:rPr>
          <w:rFonts w:hint="eastAsia" w:ascii="Times New Roman" w:hAnsi="Times New Roman" w:eastAsia="宋体"/>
          <w:color w:val="FF0000"/>
          <w:highlight w:val="none"/>
          <w:lang w:val="en-US" w:eastAsia="zh-CN"/>
        </w:rPr>
        <w:t>4</w:t>
      </w:r>
      <w:r>
        <w:rPr>
          <w:rFonts w:hint="eastAsia" w:ascii="Times New Roman" w:hAnsi="Times New Roman" w:eastAsia="宋体"/>
          <w:color w:val="FF0000"/>
          <w:highlight w:val="none"/>
        </w:rPr>
        <w:t>×10</w:t>
      </w:r>
      <w:r>
        <w:rPr>
          <w:rFonts w:hint="eastAsia" w:ascii="Times New Roman" w:hAnsi="Times New Roman" w:eastAsia="宋体"/>
          <w:color w:val="FF0000"/>
          <w:highlight w:val="none"/>
          <w:vertAlign w:val="superscript"/>
        </w:rPr>
        <w:t>4</w:t>
      </w:r>
      <w:r>
        <w:rPr>
          <w:rFonts w:hint="eastAsia" w:ascii="Times New Roman" w:hAnsi="Times New Roman" w:eastAsia="宋体"/>
          <w:color w:val="FF0000"/>
          <w:highlight w:val="none"/>
        </w:rPr>
        <w:t>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/a</w:t>
      </w:r>
      <w:r>
        <w:rPr>
          <w:rFonts w:hint="eastAsia" w:eastAsia="宋体"/>
          <w:color w:val="FF0000"/>
          <w:highlight w:val="none"/>
          <w:lang w:val="en-US" w:eastAsia="zh-CN"/>
        </w:rPr>
        <w:t>原砂。</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yellow"/>
          <w:lang w:val="en-US" w:eastAsia="zh-CN"/>
        </w:rPr>
      </w:pPr>
      <w:r>
        <w:rPr>
          <w:rFonts w:hint="eastAsia" w:ascii="Times New Roman" w:hAnsi="Times New Roman" w:eastAsia="宋体"/>
          <w:color w:val="FF0000"/>
          <w:highlight w:val="none"/>
          <w:lang w:eastAsia="zh-CN"/>
        </w:rPr>
        <w:t>企业采矿许可证号：C</w:t>
      </w:r>
      <w:r>
        <w:rPr>
          <w:rFonts w:hint="eastAsia" w:ascii="Times New Roman" w:hAnsi="Times New Roman" w:eastAsia="宋体"/>
          <w:color w:val="FF0000"/>
          <w:highlight w:val="none"/>
          <w:lang w:val="en-US" w:eastAsia="zh-CN"/>
        </w:rPr>
        <w:t>152500201</w:t>
      </w:r>
      <w:r>
        <w:rPr>
          <w:rFonts w:hint="eastAsia" w:eastAsia="宋体"/>
          <w:color w:val="FF0000"/>
          <w:highlight w:val="none"/>
          <w:lang w:val="en-US" w:eastAsia="zh-CN"/>
        </w:rPr>
        <w:t>5087130139315</w:t>
      </w:r>
      <w:r>
        <w:rPr>
          <w:rFonts w:hint="eastAsia" w:ascii="Times New Roman" w:hAnsi="Times New Roman" w:eastAsia="宋体"/>
          <w:color w:val="FF0000"/>
          <w:highlight w:val="none"/>
          <w:lang w:eastAsia="zh-CN"/>
        </w:rPr>
        <w:t>，矿山名称：</w:t>
      </w:r>
      <w:r>
        <w:rPr>
          <w:rFonts w:hint="eastAsia" w:eastAsia="宋体"/>
          <w:color w:val="FF0000"/>
          <w:highlight w:val="none"/>
          <w:lang w:val="en-US" w:eastAsia="zh-CN"/>
        </w:rPr>
        <w:t>内蒙古自治区苏尼特右旗巴润宝力格采砂场</w:t>
      </w:r>
      <w:r>
        <w:rPr>
          <w:rFonts w:hint="eastAsia" w:ascii="Times New Roman" w:hAnsi="Times New Roman" w:eastAsia="宋体"/>
          <w:color w:val="FF0000"/>
          <w:highlight w:val="none"/>
          <w:lang w:eastAsia="zh-CN"/>
        </w:rPr>
        <w:t>，开采方式：</w:t>
      </w:r>
      <w:r>
        <w:rPr>
          <w:rFonts w:hint="eastAsia" w:eastAsia="宋体"/>
          <w:color w:val="FF0000"/>
          <w:highlight w:val="none"/>
          <w:lang w:val="en-US" w:eastAsia="zh-CN"/>
        </w:rPr>
        <w:t>露天</w:t>
      </w:r>
      <w:r>
        <w:rPr>
          <w:rFonts w:hint="eastAsia" w:ascii="Times New Roman" w:hAnsi="Times New Roman" w:eastAsia="宋体"/>
          <w:color w:val="FF0000"/>
          <w:highlight w:val="none"/>
          <w:lang w:eastAsia="zh-CN"/>
        </w:rPr>
        <w:t>开采；生产规模：</w:t>
      </w:r>
      <w:r>
        <w:rPr>
          <w:rFonts w:hint="eastAsia" w:eastAsia="宋体"/>
          <w:color w:val="FF0000"/>
          <w:highlight w:val="none"/>
          <w:lang w:val="en-US" w:eastAsia="zh-CN"/>
        </w:rPr>
        <w:t>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r>
        <w:rPr>
          <w:rFonts w:hint="eastAsia" w:ascii="Times New Roman" w:hAnsi="Times New Roman" w:eastAsia="宋体"/>
          <w:color w:val="FF0000"/>
          <w:highlight w:val="none"/>
          <w:lang w:eastAsia="zh-CN"/>
        </w:rPr>
        <w:t>；矿区面积为</w:t>
      </w:r>
      <w:r>
        <w:rPr>
          <w:rFonts w:hint="eastAsia" w:eastAsia="宋体"/>
          <w:color w:val="FF0000"/>
          <w:highlight w:val="none"/>
          <w:lang w:val="en-US" w:eastAsia="zh-CN"/>
        </w:rPr>
        <w:t>0.1034km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w:t>
      </w:r>
      <w:r>
        <w:rPr>
          <w:rFonts w:hint="eastAsia" w:ascii="Times New Roman" w:hAnsi="Times New Roman" w:eastAsia="宋体"/>
          <w:color w:val="FF0000"/>
          <w:highlight w:val="none"/>
          <w:lang w:eastAsia="zh-CN"/>
        </w:rPr>
        <w:t>开采深度由</w:t>
      </w:r>
      <w:r>
        <w:rPr>
          <w:rFonts w:hint="eastAsia" w:eastAsia="宋体"/>
          <w:color w:val="FF0000"/>
          <w:highlight w:val="none"/>
          <w:lang w:val="en-US" w:eastAsia="zh-CN"/>
        </w:rPr>
        <w:t>1146</w:t>
      </w:r>
      <w:r>
        <w:rPr>
          <w:rFonts w:hint="eastAsia" w:ascii="Times New Roman" w:hAnsi="Times New Roman" w:eastAsia="宋体"/>
          <w:color w:val="FF0000"/>
          <w:highlight w:val="none"/>
          <w:lang w:eastAsia="zh-CN"/>
        </w:rPr>
        <w:t>米至</w:t>
      </w:r>
      <w:r>
        <w:rPr>
          <w:rFonts w:hint="eastAsia" w:eastAsia="宋体"/>
          <w:color w:val="FF0000"/>
          <w:highlight w:val="none"/>
          <w:lang w:val="en-US" w:eastAsia="zh-CN"/>
        </w:rPr>
        <w:t>1136</w:t>
      </w:r>
      <w:r>
        <w:rPr>
          <w:rFonts w:hint="eastAsia" w:ascii="Times New Roman" w:hAnsi="Times New Roman" w:eastAsia="宋体"/>
          <w:color w:val="FF0000"/>
          <w:highlight w:val="none"/>
          <w:lang w:eastAsia="zh-CN"/>
        </w:rPr>
        <w:t>米标高。有效期限20</w:t>
      </w:r>
      <w:r>
        <w:rPr>
          <w:rFonts w:hint="eastAsia" w:eastAsia="宋体"/>
          <w:color w:val="FF0000"/>
          <w:highlight w:val="none"/>
          <w:lang w:val="en-US" w:eastAsia="zh-CN"/>
        </w:rPr>
        <w:t>21</w:t>
      </w:r>
      <w:r>
        <w:rPr>
          <w:rFonts w:hint="eastAsia" w:ascii="Times New Roman" w:hAnsi="Times New Roman" w:eastAsia="宋体"/>
          <w:color w:val="FF0000"/>
          <w:highlight w:val="none"/>
          <w:lang w:eastAsia="zh-CN"/>
        </w:rPr>
        <w:t>年</w:t>
      </w:r>
      <w:r>
        <w:rPr>
          <w:rFonts w:hint="eastAsia" w:eastAsia="宋体"/>
          <w:color w:val="FF0000"/>
          <w:highlight w:val="none"/>
          <w:lang w:val="en-US" w:eastAsia="zh-CN"/>
        </w:rPr>
        <w:t>8</w:t>
      </w:r>
      <w:r>
        <w:rPr>
          <w:rFonts w:hint="eastAsia" w:ascii="Times New Roman" w:hAnsi="Times New Roman" w:eastAsia="宋体"/>
          <w:color w:val="FF0000"/>
          <w:highlight w:val="none"/>
          <w:lang w:eastAsia="zh-CN"/>
        </w:rPr>
        <w:t>月</w:t>
      </w:r>
      <w:r>
        <w:rPr>
          <w:rFonts w:hint="eastAsia" w:eastAsia="宋体"/>
          <w:color w:val="FF0000"/>
          <w:highlight w:val="none"/>
          <w:lang w:val="en-US" w:eastAsia="zh-CN"/>
        </w:rPr>
        <w:t>6</w:t>
      </w:r>
      <w:r>
        <w:rPr>
          <w:rFonts w:hint="eastAsia" w:ascii="Times New Roman" w:hAnsi="Times New Roman" w:eastAsia="宋体"/>
          <w:color w:val="FF0000"/>
          <w:highlight w:val="none"/>
          <w:lang w:eastAsia="zh-CN"/>
        </w:rPr>
        <w:t>日至20</w:t>
      </w:r>
      <w:r>
        <w:rPr>
          <w:rFonts w:hint="eastAsia" w:ascii="Times New Roman" w:hAnsi="Times New Roman" w:eastAsia="宋体"/>
          <w:color w:val="FF0000"/>
          <w:highlight w:val="none"/>
          <w:lang w:val="en-US" w:eastAsia="zh-CN"/>
        </w:rPr>
        <w:t>2</w:t>
      </w:r>
      <w:r>
        <w:rPr>
          <w:rFonts w:hint="eastAsia" w:eastAsia="宋体"/>
          <w:color w:val="FF0000"/>
          <w:highlight w:val="none"/>
          <w:lang w:val="en-US" w:eastAsia="zh-CN"/>
        </w:rPr>
        <w:t>2</w:t>
      </w:r>
      <w:r>
        <w:rPr>
          <w:rFonts w:hint="eastAsia" w:ascii="Times New Roman" w:hAnsi="Times New Roman" w:eastAsia="宋体"/>
          <w:color w:val="FF0000"/>
          <w:highlight w:val="none"/>
          <w:lang w:eastAsia="zh-CN"/>
        </w:rPr>
        <w:t>年</w:t>
      </w:r>
      <w:r>
        <w:rPr>
          <w:rFonts w:hint="eastAsia" w:eastAsia="宋体"/>
          <w:color w:val="FF0000"/>
          <w:highlight w:val="none"/>
          <w:lang w:val="en-US" w:eastAsia="zh-CN"/>
        </w:rPr>
        <w:t>8</w:t>
      </w:r>
      <w:r>
        <w:rPr>
          <w:rFonts w:hint="eastAsia" w:ascii="Times New Roman" w:hAnsi="Times New Roman" w:eastAsia="宋体"/>
          <w:color w:val="FF0000"/>
          <w:highlight w:val="none"/>
          <w:lang w:eastAsia="zh-CN"/>
        </w:rPr>
        <w:t>月</w:t>
      </w:r>
      <w:r>
        <w:rPr>
          <w:rFonts w:hint="eastAsia" w:eastAsia="宋体"/>
          <w:color w:val="FF0000"/>
          <w:highlight w:val="none"/>
          <w:lang w:val="en-US" w:eastAsia="zh-CN"/>
        </w:rPr>
        <w:t>6</w:t>
      </w:r>
      <w:r>
        <w:rPr>
          <w:rFonts w:hint="eastAsia" w:ascii="Times New Roman" w:hAnsi="Times New Roman" w:eastAsia="宋体"/>
          <w:color w:val="FF0000"/>
          <w:highlight w:val="none"/>
          <w:lang w:eastAsia="zh-CN"/>
        </w:rPr>
        <w:t>日</w:t>
      </w:r>
      <w:r>
        <w:rPr>
          <w:rFonts w:hint="eastAsia" w:ascii="Times New Roman" w:hAnsi="Times New Roman" w:eastAsia="宋体"/>
          <w:color w:val="auto"/>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val="en-US" w:eastAsia="zh-CN"/>
        </w:rPr>
      </w:pPr>
      <w:r>
        <w:rPr>
          <w:rFonts w:hint="eastAsia" w:ascii="Times New Roman" w:hAnsi="Times New Roman" w:eastAsia="宋体"/>
          <w:color w:val="auto"/>
          <w:highlight w:val="none"/>
          <w:lang w:val="en-US" w:eastAsia="zh-CN"/>
        </w:rPr>
        <w:t>依据《中华人民共和国环境保护法》、《中华人民共和国环境影响评价法》和中华人民共和国国务院令第253号《建设项目环境保护管理条例》及国务院令第682号《国务院关于修改&lt;建设项目环境保护管理条例&gt;的决定》的规定，本项目属于《建设项目环境影响评价分类管理名录》（20</w:t>
      </w:r>
      <w:r>
        <w:rPr>
          <w:rFonts w:hint="eastAsia" w:eastAsia="宋体"/>
          <w:color w:val="auto"/>
          <w:highlight w:val="none"/>
          <w:lang w:val="en-US" w:eastAsia="zh-CN"/>
        </w:rPr>
        <w:t>21年版</w:t>
      </w:r>
      <w:r>
        <w:rPr>
          <w:rFonts w:hint="eastAsia" w:ascii="Times New Roman" w:hAnsi="Times New Roman" w:eastAsia="宋体"/>
          <w:color w:val="auto"/>
          <w:highlight w:val="none"/>
          <w:lang w:val="en-US" w:eastAsia="zh-CN"/>
        </w:rPr>
        <w:t>）中“</w:t>
      </w:r>
      <w:r>
        <w:rPr>
          <w:rFonts w:hint="eastAsia" w:eastAsia="宋体"/>
          <w:color w:val="auto"/>
          <w:highlight w:val="none"/>
          <w:lang w:val="en-US" w:eastAsia="zh-CN"/>
        </w:rPr>
        <w:t>八</w:t>
      </w:r>
      <w:r>
        <w:rPr>
          <w:rFonts w:hint="eastAsia" w:ascii="Times New Roman" w:hAnsi="Times New Roman" w:eastAsia="宋体"/>
          <w:color w:val="auto"/>
          <w:highlight w:val="none"/>
          <w:lang w:val="en-US" w:eastAsia="zh-CN"/>
        </w:rPr>
        <w:t>、非金属矿采选业</w:t>
      </w:r>
      <w:r>
        <w:rPr>
          <w:rFonts w:hint="eastAsia" w:eastAsia="宋体"/>
          <w:color w:val="auto"/>
          <w:highlight w:val="none"/>
          <w:lang w:val="en-US" w:eastAsia="zh-CN"/>
        </w:rPr>
        <w:t>10：11.</w:t>
      </w:r>
      <w:r>
        <w:rPr>
          <w:rFonts w:hint="eastAsia" w:ascii="Times New Roman" w:hAnsi="Times New Roman" w:eastAsia="宋体"/>
          <w:color w:val="auto"/>
          <w:highlight w:val="none"/>
          <w:lang w:val="en-US" w:eastAsia="zh-CN"/>
        </w:rPr>
        <w:t>土砂石开采</w:t>
      </w:r>
      <w:r>
        <w:rPr>
          <w:rFonts w:hint="eastAsia" w:eastAsia="宋体"/>
          <w:color w:val="auto"/>
          <w:highlight w:val="none"/>
          <w:lang w:val="en-US" w:eastAsia="zh-CN"/>
        </w:rPr>
        <w:t>（不含河道采砂项目）</w:t>
      </w:r>
      <w:r>
        <w:rPr>
          <w:rFonts w:hint="eastAsia" w:ascii="Times New Roman" w:hAnsi="Times New Roman" w:eastAsia="宋体"/>
          <w:color w:val="auto"/>
          <w:highlight w:val="none"/>
          <w:lang w:val="en-US" w:eastAsia="zh-CN"/>
        </w:rPr>
        <w:t>”类别，本项目位于</w:t>
      </w:r>
      <w:r>
        <w:rPr>
          <w:rFonts w:hint="eastAsia" w:eastAsia="宋体"/>
          <w:color w:val="auto"/>
          <w:highlight w:val="none"/>
          <w:lang w:val="en-US" w:eastAsia="zh-CN"/>
        </w:rPr>
        <w:t>基本草原</w:t>
      </w:r>
      <w:r>
        <w:rPr>
          <w:rFonts w:hint="eastAsia" w:ascii="Times New Roman" w:hAnsi="Times New Roman" w:eastAsia="宋体"/>
          <w:color w:val="auto"/>
          <w:highlight w:val="none"/>
          <w:lang w:val="en-US" w:eastAsia="zh-CN"/>
        </w:rPr>
        <w:t>，需编制环境影响报告书。</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受</w:t>
      </w:r>
      <w:r>
        <w:rPr>
          <w:rFonts w:hint="default" w:ascii="Times New Roman" w:hAnsi="Times New Roman" w:cs="Times New Roman" w:eastAsiaTheme="minorEastAsia"/>
          <w:sz w:val="24"/>
          <w:szCs w:val="24"/>
          <w:highlight w:val="none"/>
        </w:rPr>
        <w:t>苏尼特右旗世荣基建石料开采有限责任公司</w:t>
      </w:r>
      <w:r>
        <w:rPr>
          <w:rFonts w:hint="eastAsia" w:ascii="Times New Roman" w:hAnsi="Times New Roman" w:eastAsia="宋体"/>
          <w:color w:val="auto"/>
          <w:highlight w:val="none"/>
          <w:lang w:val="en-US" w:eastAsia="zh-CN"/>
        </w:rPr>
        <w:t>委托，20</w:t>
      </w:r>
      <w:r>
        <w:rPr>
          <w:rFonts w:hint="eastAsia" w:eastAsia="宋体"/>
          <w:color w:val="auto"/>
          <w:highlight w:val="none"/>
          <w:lang w:val="en-US" w:eastAsia="zh-CN"/>
        </w:rPr>
        <w:t>21</w:t>
      </w:r>
      <w:r>
        <w:rPr>
          <w:rFonts w:hint="eastAsia" w:ascii="Times New Roman" w:hAnsi="Times New Roman" w:eastAsia="宋体"/>
          <w:color w:val="auto"/>
          <w:highlight w:val="none"/>
          <w:lang w:val="en-US" w:eastAsia="zh-CN"/>
        </w:rPr>
        <w:t>年</w:t>
      </w:r>
      <w:r>
        <w:rPr>
          <w:rFonts w:hint="eastAsia" w:eastAsia="宋体"/>
          <w:color w:val="auto"/>
          <w:highlight w:val="none"/>
          <w:lang w:val="en-US" w:eastAsia="zh-CN"/>
        </w:rPr>
        <w:t>4</w:t>
      </w:r>
      <w:r>
        <w:rPr>
          <w:rFonts w:hint="eastAsia" w:ascii="Times New Roman" w:hAnsi="Times New Roman" w:eastAsia="宋体"/>
          <w:color w:val="auto"/>
          <w:highlight w:val="none"/>
          <w:lang w:val="en-US" w:eastAsia="zh-CN"/>
        </w:rPr>
        <w:t>月，内蒙古</w:t>
      </w:r>
      <w:r>
        <w:rPr>
          <w:rFonts w:hint="eastAsia" w:eastAsia="宋体"/>
          <w:color w:val="auto"/>
          <w:highlight w:val="none"/>
          <w:lang w:val="en-US" w:eastAsia="zh-CN"/>
        </w:rPr>
        <w:t>筹信</w:t>
      </w:r>
      <w:r>
        <w:rPr>
          <w:rFonts w:hint="eastAsia" w:ascii="Times New Roman" w:hAnsi="Times New Roman" w:eastAsia="宋体"/>
          <w:color w:val="auto"/>
          <w:highlight w:val="none"/>
          <w:lang w:val="en-US" w:eastAsia="zh-CN"/>
        </w:rPr>
        <w:t>环保科技有限公司承担《苏尼特右旗巴润宝力格采砂场扩建项目》的环境影响评价工作。我公司在承担该项目工作后，组织人员对该项目的工程内容、选址及周边环境进行了现场勘查，编制了《苏尼特右旗巴润宝力格采砂场扩建项目环境影响评价报告书》。</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cstheme="majorEastAsia"/>
          <w:b/>
          <w:bCs w:val="0"/>
          <w:color w:val="auto"/>
          <w:highlight w:val="none"/>
        </w:rPr>
      </w:pPr>
      <w:bookmarkStart w:id="2" w:name="_Toc8051001"/>
      <w:bookmarkStart w:id="3" w:name="_Toc2026527"/>
      <w:bookmarkStart w:id="4" w:name="_Toc25627"/>
      <w:r>
        <w:rPr>
          <w:rFonts w:hint="eastAsia" w:ascii="Times New Roman" w:hAnsi="Times New Roman" w:eastAsia="宋体" w:cstheme="majorEastAsia"/>
          <w:b/>
          <w:bCs w:val="0"/>
          <w:color w:val="auto"/>
          <w:highlight w:val="none"/>
        </w:rPr>
        <w:t>1.2 环境影响评价的工作过程</w:t>
      </w:r>
      <w:bookmarkEnd w:id="2"/>
      <w:bookmarkEnd w:id="3"/>
      <w:bookmarkEnd w:id="4"/>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按照《环境影响评价技术导则-总纲》</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HJ2.1-2016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的要求，本次环境影响评价采用的工作过程详见图1</w:t>
      </w:r>
      <w:r>
        <w:rPr>
          <w:rFonts w:hint="eastAsia" w:ascii="Times New Roman" w:hAnsi="Times New Roman" w:eastAsia="宋体" w:cstheme="minorBidi"/>
          <w:color w:val="auto"/>
          <w:highlight w:val="none"/>
          <w:lang w:val="en-US" w:eastAsia="zh-CN"/>
        </w:rPr>
        <w:t>.</w:t>
      </w:r>
      <w:r>
        <w:rPr>
          <w:rFonts w:hint="eastAsia" w:ascii="Times New Roman" w:hAnsi="Times New Roman" w:eastAsia="宋体" w:cstheme="minorBidi"/>
          <w:color w:val="auto"/>
          <w:highlight w:val="none"/>
        </w:rPr>
        <w:t>2-1。</w:t>
      </w:r>
    </w:p>
    <w:p>
      <w:pPr>
        <w:pStyle w:val="52"/>
        <w:rPr>
          <w:rFonts w:ascii="Times New Roman" w:hAnsi="Times New Roman" w:eastAsia="宋体"/>
          <w:color w:val="auto"/>
          <w:highlight w:val="none"/>
        </w:rPr>
      </w:pPr>
      <w:r>
        <w:rPr>
          <w:rFonts w:hint="eastAsia" w:ascii="Times New Roman" w:hAnsi="Times New Roman" w:eastAsia="宋体"/>
          <w:color w:val="auto"/>
          <w:highlight w:val="none"/>
        </w:rPr>
        <w:drawing>
          <wp:inline distT="0" distB="0" distL="0" distR="0">
            <wp:extent cx="3963035" cy="579501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70883" cy="5806917"/>
                    </a:xfrm>
                    <a:prstGeom prst="rect">
                      <a:avLst/>
                    </a:prstGeom>
                    <a:noFill/>
                    <a:ln>
                      <a:noFill/>
                    </a:ln>
                  </pic:spPr>
                </pic:pic>
              </a:graphicData>
            </a:graphic>
          </wp:inline>
        </w:drawing>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图1.2-1 本次环境影响评价采用的工作过程图</w:t>
      </w:r>
      <w:bookmarkStart w:id="5" w:name="_Toc2026528"/>
      <w:bookmarkStart w:id="6" w:name="_Toc8051002"/>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7" w:name="_Toc15144"/>
      <w:r>
        <w:rPr>
          <w:rFonts w:hint="eastAsia" w:ascii="Times New Roman" w:hAnsi="Times New Roman" w:eastAsia="宋体"/>
          <w:b/>
          <w:bCs w:val="0"/>
          <w:color w:val="auto"/>
          <w:highlight w:val="none"/>
          <w:lang w:val="en-US" w:eastAsia="zh-CN"/>
        </w:rPr>
        <w:t>1.3 关注的主要环境问题</w:t>
      </w:r>
      <w:bookmarkEnd w:id="7"/>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 xml:space="preserve">    （1）调查分析项目范围污染源现状，调查和检测项目影响区域的环境质量状况，进行环境质量现状评价；</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lang w:val="en-US" w:eastAsia="zh-CN"/>
        </w:rPr>
        <w:t>2</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lang w:val="en-US" w:eastAsia="zh-CN"/>
        </w:rPr>
        <w:t>论证工程选址的合理性、所选污染防治措施的可靠性和运输堆放时产生的粉尘、噪声排放的合理性；</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（3）分析项目运行期污染源及污染物的排放情况，预测其对环境空气、声环境等方面的有利和不利影响。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（4）根据项目影响区域环境质量控制目标和环境管理的要求，分析并提出缓减不利影响的措施和方案。</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（5）环境经济损益分析，主要为环境损益分析、经济损益分析和社会损益分析。</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b w:val="0"/>
          <w:bCs/>
          <w:color w:val="auto"/>
          <w:sz w:val="24"/>
          <w:szCs w:val="24"/>
          <w:highlight w:val="none"/>
        </w:rPr>
      </w:pPr>
      <w:r>
        <w:rPr>
          <w:rFonts w:hint="eastAsia" w:ascii="Times New Roman" w:hAnsi="Times New Roman" w:eastAsia="宋体"/>
          <w:b w:val="0"/>
          <w:bCs/>
          <w:color w:val="auto"/>
          <w:sz w:val="24"/>
          <w:szCs w:val="24"/>
          <w:highlight w:val="none"/>
          <w:lang w:val="en-US" w:eastAsia="zh-CN"/>
        </w:rPr>
        <w:t>（6）拟定环境管理及监测计划。</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8" w:name="_Toc11875"/>
      <w:r>
        <w:rPr>
          <w:rFonts w:hint="eastAsia" w:ascii="Times New Roman" w:hAnsi="Times New Roman" w:eastAsia="宋体"/>
          <w:b/>
          <w:bCs w:val="0"/>
          <w:color w:val="auto"/>
          <w:highlight w:val="none"/>
        </w:rPr>
        <w:t>1.</w:t>
      </w:r>
      <w:r>
        <w:rPr>
          <w:rFonts w:hint="eastAsia" w:ascii="Times New Roman" w:hAnsi="Times New Roman" w:eastAsia="宋体"/>
          <w:b/>
          <w:bCs w:val="0"/>
          <w:color w:val="auto"/>
          <w:highlight w:val="none"/>
          <w:lang w:val="en-US" w:eastAsia="zh-CN"/>
        </w:rPr>
        <w:t>4</w:t>
      </w:r>
      <w:r>
        <w:rPr>
          <w:rFonts w:hint="eastAsia" w:ascii="Times New Roman" w:hAnsi="Times New Roman" w:eastAsia="宋体"/>
          <w:b/>
          <w:bCs w:val="0"/>
          <w:color w:val="auto"/>
          <w:highlight w:val="none"/>
        </w:rPr>
        <w:t xml:space="preserve"> 分析判定相关情况</w:t>
      </w:r>
      <w:bookmarkEnd w:id="5"/>
      <w:bookmarkEnd w:id="6"/>
      <w:bookmarkEnd w:id="8"/>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根据《建设项目环境影响评价技术导则 总纲》</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HJ2.1-2016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3.3 的相关要求，分析判定建设项目选址选线、规模、性质和工艺路线等与国家和地方有关环境保护法律法规、标准、政策、规范、相关规划、规划环境影响评价结论及审查意见的符合性，并与生态保护红线、环境质量底线、资源利用上线和环境准入负面清单进行对照，作为开展环境影响评价工作的前提和基础。</w:t>
      </w:r>
    </w:p>
    <w:p>
      <w:pPr>
        <w:spacing w:line="360" w:lineRule="auto"/>
        <w:ind w:firstLine="480"/>
        <w:rPr>
          <w:rFonts w:ascii="Times New Roman" w:hAnsi="Times New Roman" w:eastAsia="宋体" w:cstheme="minorBidi"/>
          <w:color w:val="auto"/>
          <w:highlight w:val="yellow"/>
        </w:rPr>
      </w:pPr>
      <w:r>
        <w:rPr>
          <w:rFonts w:hint="eastAsia" w:ascii="Times New Roman" w:hAnsi="Times New Roman" w:eastAsia="宋体" w:cstheme="minorBidi"/>
          <w:color w:val="auto"/>
          <w:highlight w:val="none"/>
        </w:rPr>
        <w:t>本项目选址不在生态功能重要区域、生态环境敏感脆弱区域或国家级、自治区级禁止开发区域，以及有必要严格保护的其他各类保护地，未触及生态保护红线；本项目的建设运营虽然会产生一定的污染物，如废气、废水、生产设备运行时产生的噪声和固废等，但在采取相应的污染防治措施后，各类污染物的达标排放，不会对周边的环境造成不良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9" w:name="_Toc30908"/>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.1 项目与国家产业政策符合性分析</w:t>
      </w:r>
      <w:bookmarkEnd w:id="9"/>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根据</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产业结构调整指导</w:t>
      </w:r>
      <w:r>
        <w:rPr>
          <w:rFonts w:hint="eastAsia" w:ascii="Times New Roman" w:hAnsi="Times New Roman" w:eastAsia="宋体"/>
          <w:color w:val="auto"/>
          <w:highlight w:val="none"/>
        </w:rPr>
        <w:t>名录》（</w:t>
      </w:r>
      <w:r>
        <w:rPr>
          <w:rFonts w:hint="eastAsia" w:ascii="Times New Roman" w:hAnsi="Times New Roman" w:eastAsia="宋体"/>
          <w:color w:val="auto"/>
          <w:highlight w:val="none"/>
          <w:lang w:val="en-US" w:eastAsia="zh-CN"/>
        </w:rPr>
        <w:t>2019年本</w:t>
      </w: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项目不属于其中规定的鼓励类、限制类、淘汰类项目，为允许类项目</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Cs/>
          <w:color w:val="auto"/>
          <w:sz w:val="30"/>
          <w:szCs w:val="30"/>
          <w:highlight w:val="none"/>
        </w:rPr>
      </w:pPr>
      <w:bookmarkStart w:id="10" w:name="_Toc17919"/>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w:t>
      </w:r>
      <w:r>
        <w:rPr>
          <w:rFonts w:hint="eastAsia" w:ascii="Times New Roman" w:hAnsi="Times New Roman" w:eastAsia="宋体"/>
          <w:b/>
          <w:bCs w:val="0"/>
          <w:color w:val="auto"/>
          <w:sz w:val="30"/>
          <w:szCs w:val="30"/>
          <w:highlight w:val="none"/>
          <w:lang w:val="en-US" w:eastAsia="zh-CN"/>
        </w:rPr>
        <w:t>2</w:t>
      </w:r>
      <w:r>
        <w:rPr>
          <w:rFonts w:hint="eastAsia" w:ascii="Times New Roman" w:hAnsi="Times New Roman" w:eastAsia="宋体"/>
          <w:b/>
          <w:bCs w:val="0"/>
          <w:color w:val="auto"/>
          <w:sz w:val="30"/>
          <w:szCs w:val="30"/>
          <w:highlight w:val="none"/>
        </w:rPr>
        <w:t xml:space="preserve"> 与</w:t>
      </w:r>
      <w:r>
        <w:rPr>
          <w:rFonts w:hint="eastAsia" w:ascii="Times New Roman" w:hAnsi="Times New Roman" w:eastAsia="宋体"/>
          <w:b/>
          <w:bCs w:val="0"/>
          <w:color w:val="auto"/>
          <w:sz w:val="30"/>
          <w:szCs w:val="30"/>
          <w:highlight w:val="none"/>
          <w:lang w:val="en-US" w:eastAsia="zh-CN"/>
        </w:rPr>
        <w:t>内蒙古自治区“十三五”生态环境保护规划</w:t>
      </w:r>
      <w:r>
        <w:rPr>
          <w:rFonts w:hint="eastAsia" w:ascii="Times New Roman" w:hAnsi="Times New Roman" w:eastAsia="宋体"/>
          <w:b/>
          <w:bCs w:val="0"/>
          <w:color w:val="auto"/>
          <w:sz w:val="30"/>
          <w:szCs w:val="30"/>
          <w:highlight w:val="none"/>
        </w:rPr>
        <w:t>的相符性</w:t>
      </w:r>
      <w:bookmarkEnd w:id="10"/>
    </w:p>
    <w:p>
      <w:pPr>
        <w:ind w:firstLine="480"/>
        <w:rPr>
          <w:rFonts w:hint="eastAsia" w:ascii="Times New Roman" w:hAnsi="Times New Roman" w:eastAsia="宋体" w:cstheme="minorEastAsia"/>
          <w:b/>
          <w:bCs/>
          <w:color w:val="auto"/>
          <w:highlight w:val="none"/>
        </w:rPr>
      </w:pPr>
      <w:r>
        <w:rPr>
          <w:rFonts w:hint="eastAsia" w:ascii="Times New Roman" w:hAnsi="Times New Roman" w:eastAsia="宋体" w:cstheme="minorEastAsia"/>
          <w:color w:val="auto"/>
          <w:highlight w:val="none"/>
          <w:lang w:val="en-US" w:eastAsia="zh-CN"/>
        </w:rPr>
        <w:t>《内蒙古</w:t>
      </w:r>
      <w:r>
        <w:rPr>
          <w:rFonts w:hint="eastAsia" w:ascii="Times New Roman" w:hAnsi="Times New Roman" w:eastAsia="宋体" w:cstheme="minorEastAsia"/>
          <w:color w:val="auto"/>
          <w:highlight w:val="none"/>
        </w:rPr>
        <w:t>自治区“十三五”生态环境保护规划》第一节“有效推进大气环境质量改善”中“6.深入推进扬尘污染综合防治”要求：推进交通道路及矿山扬尘防治。公路、铁路两侧和城市周边矿山、配煤场所等企业必须采取更加严格的防治措施，强化矿山开采、储存、装卸、运输过程的污染防治，确保粉尘达标排放。加强堆场、料场的扬尘防治。环评要求施工单位施工过程应制订土方施工处理计划、施工场地定期洒水、散装物料装卸应尽可能降低落差、轻装慢卸，车辆上应覆盖篷布；车辆出</w:t>
      </w:r>
      <w:r>
        <w:rPr>
          <w:rFonts w:hint="eastAsia" w:eastAsia="宋体" w:cstheme="minorEastAsia"/>
          <w:color w:val="auto"/>
          <w:highlight w:val="none"/>
          <w:lang w:val="en-US" w:eastAsia="zh-CN"/>
        </w:rPr>
        <w:t>场</w:t>
      </w:r>
      <w:r>
        <w:rPr>
          <w:rFonts w:hint="eastAsia" w:ascii="Times New Roman" w:hAnsi="Times New Roman" w:eastAsia="宋体" w:cstheme="minorEastAsia"/>
          <w:color w:val="auto"/>
          <w:highlight w:val="none"/>
        </w:rPr>
        <w:t>地前应尽可能清除表面粘附的泥土等。散装易起尘物料应尽可能避免露天堆放，若露天堆放应加以覆盖。运营期要求矿石废石装卸过程规范装卸车作业、洒水抑尘。</w:t>
      </w:r>
      <w:r>
        <w:rPr>
          <w:rFonts w:hint="eastAsia" w:ascii="Times New Roman" w:hAnsi="Times New Roman" w:eastAsia="宋体" w:cstheme="minorEastAsia"/>
          <w:b/>
          <w:bCs/>
          <w:color w:val="auto"/>
          <w:highlight w:val="none"/>
        </w:rPr>
        <w:t>项目符合内蒙古自治区“十三五”生态环境保护规划要求。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FF0000"/>
          <w:sz w:val="30"/>
          <w:szCs w:val="30"/>
          <w:highlight w:val="none"/>
          <w:lang w:val="en-US" w:eastAsia="zh-CN"/>
        </w:rPr>
      </w:pPr>
      <w:r>
        <w:rPr>
          <w:rFonts w:hint="eastAsia" w:ascii="Times New Roman" w:hAnsi="Times New Roman" w:eastAsia="宋体"/>
          <w:b/>
          <w:bCs w:val="0"/>
          <w:color w:val="FF0000"/>
          <w:sz w:val="30"/>
          <w:szCs w:val="30"/>
          <w:highlight w:val="none"/>
          <w:lang w:val="en-US" w:eastAsia="zh-CN"/>
        </w:rPr>
        <w:t>1.4.3 与《苏尼特右旗矿产资源总体规划》（2016~2020年）符合性分析</w:t>
      </w:r>
    </w:p>
    <w:p>
      <w:pPr>
        <w:ind w:firstLine="480"/>
        <w:rPr>
          <w:rFonts w:hint="default" w:ascii="Times New Roman" w:hAnsi="Times New Roman" w:eastAsia="宋体" w:cstheme="minorEastAsia"/>
          <w:b w:val="0"/>
          <w:bCs w:val="0"/>
          <w:color w:val="FF0000"/>
          <w:highlight w:val="none"/>
          <w:lang w:val="en-US" w:eastAsia="zh-CN"/>
        </w:rPr>
      </w:pPr>
      <w:r>
        <w:rPr>
          <w:rFonts w:hint="default" w:ascii="Times New Roman" w:hAnsi="Times New Roman" w:eastAsia="宋体" w:cstheme="minorEastAsia"/>
          <w:b w:val="0"/>
          <w:bCs w:val="0"/>
          <w:color w:val="FF0000"/>
          <w:highlight w:val="none"/>
          <w:lang w:val="en-US" w:eastAsia="zh-CN"/>
        </w:rPr>
        <w:t>《苏尼特右旗矿产资源总体规划》</w:t>
      </w:r>
      <w:r>
        <w:rPr>
          <w:rFonts w:hint="eastAsia" w:eastAsia="宋体" w:cstheme="minorEastAsia"/>
          <w:b w:val="0"/>
          <w:bCs w:val="0"/>
          <w:color w:val="FF0000"/>
          <w:highlight w:val="none"/>
          <w:lang w:val="en-US" w:eastAsia="zh-CN"/>
        </w:rPr>
        <w:t>2021年正在编制，还未编制完成，本项目参比《苏尼特右旗矿产资源总体规划》（2016~2020年）进行分析。苏尼特右旗未开展矿产资源规划环评。本项目与《苏尼特右旗矿产资源总体规划》（2016~2020年）符合性分析见表1.4-1。</w:t>
      </w:r>
    </w:p>
    <w:p>
      <w:pPr>
        <w:ind w:left="0" w:leftChars="0" w:firstLine="0" w:firstLineChars="0"/>
        <w:jc w:val="center"/>
        <w:rPr>
          <w:rFonts w:hint="default" w:eastAsia="宋体" w:cstheme="minorEastAsia"/>
          <w:b w:val="0"/>
          <w:bCs w:val="0"/>
          <w:color w:val="FF0000"/>
          <w:highlight w:val="none"/>
          <w:lang w:val="en-US" w:eastAsia="zh-CN"/>
        </w:rPr>
      </w:pPr>
      <w:r>
        <w:rPr>
          <w:rFonts w:hint="eastAsia" w:eastAsia="宋体" w:cstheme="minorEastAsia"/>
          <w:b/>
          <w:bCs/>
          <w:color w:val="FF0000"/>
          <w:highlight w:val="none"/>
          <w:lang w:val="en-US" w:eastAsia="zh-CN"/>
        </w:rPr>
        <w:t>表1.4-1 与《苏尼特右旗矿产资源总体规划》（2016~2020年）符合性分析</w:t>
      </w:r>
    </w:p>
    <w:tbl>
      <w:tblPr>
        <w:tblStyle w:val="36"/>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2694"/>
        <w:gridCol w:w="11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color w:val="FF0000"/>
                <w:highlight w:val="none"/>
                <w:lang w:val="en-US" w:eastAsia="zh-CN"/>
              </w:rPr>
              <w:t>政策</w:t>
            </w:r>
            <w:r>
              <w:rPr>
                <w:rFonts w:hint="eastAsia" w:ascii="Times New Roman" w:hAnsi="Times New Roman" w:eastAsia="宋体"/>
                <w:color w:val="FF0000"/>
                <w:highlight w:val="none"/>
              </w:rPr>
              <w:t>要求</w:t>
            </w:r>
          </w:p>
        </w:tc>
        <w:tc>
          <w:tcPr>
            <w:tcW w:w="269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本项目情况</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是否相符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加强矿山地质环境保护与治理，建设生态草原。落实矿山地质环境保护与恢复治理的责任机制。增强环境保护意识，改善矿山生态环境，使经济效益、社会效益、生态效益共同提高，使矿产资源的开发利用与保护协调发展。新建和生产矿山相关企业负责人在创造效益的同时，应加强矿山地质环境保护和及时治理。</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已对采空区、裸露区、现有排土场进行覆土绿化；设立矿山治理责任人；设立矿山开采区域标识；建设单位正在评绿色矿山</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禁止开采区：将各类自然保护区、地质公园、地质遗迹保护区、重要饮用水水源地保护区、风景名胜区、军事管理区、历史文物古迹所在地等需要重点保护的区域及国家规定的地区划定为禁止开采区。</w:t>
            </w:r>
          </w:p>
        </w:tc>
        <w:tc>
          <w:tcPr>
            <w:tcW w:w="269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color w:val="FF0000"/>
                <w:highlight w:val="none"/>
                <w:lang w:val="en-US" w:eastAsia="zh-CN"/>
              </w:rPr>
              <w:t>本项目不在</w:t>
            </w:r>
            <w:r>
              <w:rPr>
                <w:rFonts w:hint="eastAsia" w:ascii="Times New Roman" w:hAnsi="Times New Roman" w:eastAsia="宋体"/>
                <w:color w:val="FF0000"/>
                <w:highlight w:val="none"/>
              </w:rPr>
              <w:t>各类自然保护区、地质公园、地质遗迹保护区、重要饮用水水源地保护区、风景名胜区、军事管理区、历史文物古迹所在地等需要重点保护的区域及国家规定的地区</w:t>
            </w:r>
            <w:r>
              <w:rPr>
                <w:rFonts w:hint="eastAsia"/>
                <w:color w:val="FF0000"/>
                <w:highlight w:val="none"/>
                <w:lang w:val="en-US" w:eastAsia="zh-CN"/>
              </w:rPr>
              <w:t>内</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严格执行矿产资源开采准入条件，推行矿产资源最低开采规模制度，作为设立采矿权的重要依据。矿山开采规模必须与矿区的资源储量规模相适应，严禁大矿小开，一矿多开，滥采乱挖。建筑用砂最低开采规模6万立方米/年</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本项目扩产后开采规模6万</w:t>
            </w:r>
            <w:r>
              <w:rPr>
                <w:rFonts w:hint="eastAsia" w:ascii="Times New Roman" w:hAnsi="Times New Roman" w:eastAsia="宋体"/>
                <w:color w:val="FF0000"/>
                <w:highlight w:val="none"/>
              </w:rPr>
              <w:t>立方米/年</w:t>
            </w:r>
            <w:r>
              <w:rPr>
                <w:rFonts w:hint="eastAsia"/>
                <w:color w:val="FF0000"/>
                <w:highlight w:val="none"/>
                <w:lang w:eastAsia="zh-CN"/>
              </w:rPr>
              <w:t>，</w:t>
            </w:r>
            <w:r>
              <w:rPr>
                <w:rFonts w:hint="eastAsia"/>
                <w:color w:val="FF0000"/>
                <w:highlight w:val="none"/>
                <w:lang w:val="en-US" w:eastAsia="zh-CN"/>
              </w:rPr>
              <w:t>符合砂石料厂最低开采规模要求</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新建的非煤矿山原则上一个矿床设置一个矿山企业，且矿山规模不低于相应矿种最低开采规模，凡是已设立低于最低开采规模的矿山应积极进行技术改造和开采结构调整，尽快达到最低开采规模要求，达不到最低开采规模的矿山按照市场淘汰规则，逐步有序退出。</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本矿山所在矿床只有本建设单位一个矿山企业，且开采规模6万</w:t>
            </w:r>
            <w:r>
              <w:rPr>
                <w:rFonts w:hint="eastAsia" w:ascii="Times New Roman" w:hAnsi="Times New Roman" w:eastAsia="宋体"/>
                <w:color w:val="FF0000"/>
                <w:highlight w:val="none"/>
              </w:rPr>
              <w:t>立方米/年</w:t>
            </w:r>
            <w:r>
              <w:rPr>
                <w:rFonts w:hint="eastAsia"/>
                <w:color w:val="FF0000"/>
                <w:highlight w:val="none"/>
                <w:lang w:eastAsia="zh-CN"/>
              </w:rPr>
              <w:t>，</w:t>
            </w:r>
            <w:r>
              <w:rPr>
                <w:rFonts w:hint="eastAsia"/>
                <w:color w:val="FF0000"/>
                <w:highlight w:val="none"/>
                <w:lang w:val="en-US" w:eastAsia="zh-CN"/>
              </w:rPr>
              <w:t>符合砂石料厂最低开采规模要求</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bookmarkStart w:id="11" w:name="_Toc447204684"/>
            <w:r>
              <w:rPr>
                <w:rFonts w:hint="default" w:ascii="Times New Roman" w:hAnsi="Times New Roman" w:eastAsia="宋体"/>
                <w:color w:val="FF0000"/>
                <w:highlight w:val="none"/>
              </w:rPr>
              <w:t>合理调控开采总量</w:t>
            </w:r>
            <w:bookmarkEnd w:id="11"/>
            <w:r>
              <w:rPr>
                <w:rFonts w:hint="eastAsia"/>
                <w:color w:val="FF0000"/>
                <w:highlight w:val="none"/>
                <w:lang w:eastAsia="zh-CN"/>
              </w:rPr>
              <w:t>：</w:t>
            </w:r>
            <w:r>
              <w:rPr>
                <w:rFonts w:hint="default" w:ascii="Times New Roman" w:hAnsi="Times New Roman" w:eastAsia="宋体"/>
                <w:color w:val="FF0000"/>
                <w:highlight w:val="none"/>
              </w:rPr>
              <w:t>根据苏尼特右旗普通建筑用砂石土矿现有数量，结合新设置的开采区块，控制全旗普通建筑用砂、石、粘土矿设置总数量为22个，规划期内不得超量设置，达到总数量后仍需设置的，原则上采取“撤一建一”的方式进行，保持总数量不变。</w:t>
            </w:r>
          </w:p>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　　普通建筑用砂、石、粘土矿矿山全部实行招、拍、挂或协议出让等有偿方式取得采矿权。以现有矿山为依托，采取整合、重组等多种方式减少矿山数量，重点扶持资源潜力大、矿山集中度高的矿山企业，划定集中开采区域，建成一批中型建筑石料开采与加工基地。扩大生产规模、改进技术水平、提高经济效益。</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本项目为原有矿山改扩建，矿山数量未增加，本项目新增洗砂工序，提高砂料品质和经济效益</w:t>
            </w:r>
          </w:p>
        </w:tc>
        <w:tc>
          <w:tcPr>
            <w:tcW w:w="118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eastAsia="zh-CN"/>
              </w:rPr>
              <w:t>资质准入条件：新建矿山企业必须具备与矿山建设规模相适应的人才、技术、资金、设备和安全管理方面的资质水平。并由各主管部门对其矿区范围、矿山建设设计方案、生产技术条件、安全措施和环境保护措施进行审查，经审查合格后可予批准。</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本项目属于改扩建项目，现有矿山具备</w:t>
            </w:r>
            <w:r>
              <w:rPr>
                <w:rFonts w:hint="eastAsia" w:ascii="Times New Roman" w:hAnsi="Times New Roman" w:eastAsia="宋体"/>
                <w:color w:val="FF0000"/>
                <w:highlight w:val="none"/>
                <w:lang w:eastAsia="zh-CN"/>
              </w:rPr>
              <w:t>与矿山建设规模相适应的人才、技术、资金、设备和安全管理方面的资质水平</w:t>
            </w:r>
            <w:r>
              <w:rPr>
                <w:rFonts w:hint="eastAsia"/>
                <w:color w:val="FF0000"/>
                <w:highlight w:val="none"/>
                <w:lang w:eastAsia="zh-CN"/>
              </w:rPr>
              <w:t>。</w:t>
            </w:r>
            <w:r>
              <w:rPr>
                <w:rFonts w:hint="eastAsia"/>
                <w:color w:val="FF0000"/>
                <w:highlight w:val="none"/>
                <w:lang w:val="en-US" w:eastAsia="zh-CN"/>
              </w:rPr>
              <w:t>本次重新核定了矿区范围，已经批准；重新编制了开发利用方案，和安全评价，已通过专家评审</w:t>
            </w:r>
          </w:p>
        </w:tc>
        <w:tc>
          <w:tcPr>
            <w:tcW w:w="1184"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资源规模准入条件：矿山的生产建设规模必须与占用矿产资源的规模相适宜，其开采规模不低于《规划》规定的最低开采规模，低于最低开采规模的矿山应积极进行技术改造和开采结构调整，尽快达到最低开采规模要求，达不到最低开采规模的矿山按照市场淘汰规则，逐步有序退出。将最低开采规模制度，作为审批采矿权和监督管理的依据之一，严禁大矿小开、一矿多开、滥采乱挖。</w:t>
            </w:r>
          </w:p>
        </w:tc>
        <w:tc>
          <w:tcPr>
            <w:tcW w:w="2694" w:type="dxa"/>
            <w:tcBorders>
              <w:tl2br w:val="nil"/>
              <w:tr2bl w:val="nil"/>
            </w:tcBorders>
            <w:vAlign w:val="center"/>
          </w:tcPr>
          <w:p>
            <w:pPr>
              <w:pStyle w:val="52"/>
              <w:rPr>
                <w:rFonts w:hint="eastAsia" w:ascii="Times New Roman" w:hAnsi="Times New Roman" w:eastAsia="宋体"/>
                <w:color w:val="FF0000"/>
                <w:highlight w:val="none"/>
              </w:rPr>
            </w:pPr>
            <w:r>
              <w:rPr>
                <w:rFonts w:hint="eastAsia"/>
                <w:color w:val="FF0000"/>
                <w:highlight w:val="none"/>
                <w:lang w:val="en-US" w:eastAsia="zh-CN"/>
              </w:rPr>
              <w:t>本矿山所在矿床只有本建设单位一个矿山企业，且开采规模6万</w:t>
            </w:r>
            <w:r>
              <w:rPr>
                <w:rFonts w:hint="eastAsia" w:ascii="Times New Roman" w:hAnsi="Times New Roman" w:eastAsia="宋体"/>
                <w:color w:val="FF0000"/>
                <w:highlight w:val="none"/>
              </w:rPr>
              <w:t>立方米/年</w:t>
            </w:r>
            <w:r>
              <w:rPr>
                <w:rFonts w:hint="eastAsia"/>
                <w:color w:val="FF0000"/>
                <w:highlight w:val="none"/>
                <w:lang w:eastAsia="zh-CN"/>
              </w:rPr>
              <w:t>，</w:t>
            </w:r>
            <w:r>
              <w:rPr>
                <w:rFonts w:hint="eastAsia"/>
                <w:color w:val="FF0000"/>
                <w:highlight w:val="none"/>
                <w:lang w:val="en-US" w:eastAsia="zh-CN"/>
              </w:rPr>
              <w:t>符合砂石料厂最低开采规模要求</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空间准入条件：对矿山建设占用和使用土地，要按国家法律规定办理用地手续，在林区、重要草原保护区内和占用基本草原采矿，要对地上资源与地下资源的综合效益进行论证，提交水土保持方案、林草复垦方案，并经土地、草原、林业主管部门审查批准。严格禁止使用林地和草原来进行低水平矿山建设项目。</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已办理土地相关手续</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生态环境准入条件：新建矿山必须通过相应级别的环境影响评价和地质灾害危险性评估。环境影响评价报告和水土保持方案，要提出切实可行的环境保护和治理、水土保持和防止污染的具体措施，并经专家审查后备案。</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本项目为改扩建项目，正在办理改扩建环评手续，已编制植被恢复方案</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规划准入条件：新建矿山企业必须满足《规划》准入条件，已建矿山，要按照规划的布局和结构进行调整和优化。限制开采区内矿山企业基本符合限制要求，禁止开采区内的矿山全部关停，并逐步有序退出。</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本项目不在限制开采区和禁止开采区范围内</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安全准入条件：矿山建设和生产必须符合国家安全生产和职业危害防治等法律法规规定及安全技术规程标准，具备相应的安全生产和职业危害防治条件。新建或改扩建矿山必须与主体工程“三同时”。矿山建设项目必须依法进行安全评价，安全设施设计必须经过安全生产监督管理部门审查验收。</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已进行安全评价，并通过专家评审</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bl>
    <w:p>
      <w:pPr>
        <w:ind w:left="0" w:leftChars="0" w:firstLine="480" w:firstLineChars="200"/>
        <w:rPr>
          <w:rFonts w:hint="eastAsia" w:eastAsia="宋体" w:cstheme="minorEastAsia"/>
          <w:b w:val="0"/>
          <w:bCs w:val="0"/>
          <w:color w:val="FF0000"/>
          <w:highlight w:val="none"/>
          <w:lang w:eastAsia="zh-CN"/>
        </w:rPr>
      </w:pPr>
      <w:r>
        <w:rPr>
          <w:rFonts w:hint="eastAsia" w:ascii="Times New Roman" w:hAnsi="Times New Roman" w:eastAsia="宋体"/>
          <w:color w:val="FF0000"/>
          <w:highlight w:val="none"/>
        </w:rPr>
        <w:t>由上表可知，本项目符合</w:t>
      </w:r>
      <w:r>
        <w:rPr>
          <w:rFonts w:hint="eastAsia" w:eastAsia="宋体" w:cstheme="minorEastAsia"/>
          <w:b w:val="0"/>
          <w:bCs w:val="0"/>
          <w:color w:val="FF0000"/>
          <w:highlight w:val="none"/>
          <w:lang w:val="en-US" w:eastAsia="zh-CN"/>
        </w:rPr>
        <w:t>《苏尼特右旗矿产资源总体规划》（2016~2020年）</w:t>
      </w:r>
      <w:r>
        <w:rPr>
          <w:rFonts w:hint="eastAsia" w:ascii="Times New Roman" w:hAnsi="Times New Roman" w:eastAsia="宋体"/>
          <w:color w:val="FF0000"/>
          <w:highlight w:val="none"/>
        </w:rPr>
        <w:t>中的相关要求。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12" w:name="_Toc20477"/>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w:t>
      </w:r>
      <w:r>
        <w:rPr>
          <w:rFonts w:hint="eastAsia" w:eastAsia="宋体"/>
          <w:b/>
          <w:bCs w:val="0"/>
          <w:color w:val="auto"/>
          <w:sz w:val="30"/>
          <w:szCs w:val="30"/>
          <w:highlight w:val="none"/>
          <w:lang w:val="en-US" w:eastAsia="zh-CN"/>
        </w:rPr>
        <w:t>4</w:t>
      </w:r>
      <w:r>
        <w:rPr>
          <w:rFonts w:hint="eastAsia" w:ascii="Times New Roman" w:hAnsi="Times New Roman" w:eastAsia="宋体"/>
          <w:b/>
          <w:bCs w:val="0"/>
          <w:color w:val="auto"/>
          <w:sz w:val="30"/>
          <w:highlight w:val="none"/>
        </w:rPr>
        <w:t xml:space="preserve"> 与</w:t>
      </w:r>
      <w:r>
        <w:rPr>
          <w:rFonts w:hint="eastAsia" w:ascii="Times New Roman" w:hAnsi="Times New Roman" w:eastAsia="宋体"/>
          <w:b/>
          <w:bCs w:val="0"/>
          <w:color w:val="auto"/>
          <w:sz w:val="30"/>
          <w:highlight w:val="none"/>
          <w:lang w:eastAsia="zh-CN"/>
        </w:rPr>
        <w:t>《</w:t>
      </w:r>
      <w:r>
        <w:rPr>
          <w:rFonts w:hint="eastAsia" w:ascii="Times New Roman" w:hAnsi="Times New Roman" w:eastAsia="宋体"/>
          <w:b/>
          <w:bCs w:val="0"/>
          <w:color w:val="auto"/>
          <w:sz w:val="30"/>
          <w:highlight w:val="none"/>
          <w:lang w:val="en-US" w:eastAsia="zh-CN"/>
        </w:rPr>
        <w:t>矿山生态环境保护与污染防治技术政策</w:t>
      </w:r>
      <w:r>
        <w:rPr>
          <w:rFonts w:hint="eastAsia" w:ascii="Times New Roman" w:hAnsi="Times New Roman" w:eastAsia="宋体"/>
          <w:b/>
          <w:bCs w:val="0"/>
          <w:color w:val="auto"/>
          <w:sz w:val="30"/>
          <w:highlight w:val="none"/>
          <w:lang w:eastAsia="zh-CN"/>
        </w:rPr>
        <w:t>》</w:t>
      </w:r>
      <w:r>
        <w:rPr>
          <w:rFonts w:hint="eastAsia" w:ascii="Times New Roman" w:hAnsi="Times New Roman" w:eastAsia="宋体"/>
          <w:b/>
          <w:bCs w:val="0"/>
          <w:color w:val="auto"/>
          <w:sz w:val="30"/>
          <w:highlight w:val="none"/>
        </w:rPr>
        <w:t>的相符性</w:t>
      </w:r>
      <w:bookmarkEnd w:id="12"/>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为了实现矿产</w:t>
      </w:r>
      <w:r>
        <w:rPr>
          <w:rFonts w:hint="eastAsia" w:ascii="Times New Roman" w:hAnsi="Times New Roman" w:eastAsia="宋体"/>
          <w:color w:val="auto"/>
          <w:highlight w:val="none"/>
        </w:rPr>
        <w:t>资源开发与生态环境保护协调发展，提高矿产资源开发利用效率，避免和减少矿区生态环境破坏和污染，制定了《矿山生态环境保护与污染防治技术政策》</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环发［2005］109 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。本项目与该政策的对比情况见表1.</w:t>
      </w:r>
      <w:r>
        <w:rPr>
          <w:rFonts w:hint="eastAsia" w:eastAsia="宋体"/>
          <w:color w:val="auto"/>
          <w:highlight w:val="none"/>
          <w:lang w:val="en-US" w:eastAsia="zh-CN"/>
        </w:rPr>
        <w:t>4-2</w:t>
      </w:r>
      <w:r>
        <w:rPr>
          <w:rFonts w:hint="eastAsia" w:ascii="Times New Roman" w:hAnsi="Times New Roman" w:eastAsia="宋体"/>
          <w:color w:val="auto"/>
          <w:highlight w:val="none"/>
        </w:rPr>
        <w:t>。</w:t>
      </w:r>
    </w:p>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表1.</w:t>
      </w:r>
      <w:r>
        <w:rPr>
          <w:rFonts w:hint="eastAsia" w:eastAsia="宋体"/>
          <w:b/>
          <w:bCs/>
          <w:color w:val="auto"/>
          <w:highlight w:val="none"/>
          <w:lang w:val="en-US" w:eastAsia="zh-CN"/>
        </w:rPr>
        <w:t>4</w:t>
      </w:r>
      <w:r>
        <w:rPr>
          <w:rFonts w:hint="eastAsia" w:ascii="Times New Roman" w:hAnsi="Times New Roman" w:eastAsia="宋体"/>
          <w:b/>
          <w:bCs/>
          <w:color w:val="auto"/>
          <w:highlight w:val="none"/>
        </w:rPr>
        <w:t>-</w:t>
      </w:r>
      <w:r>
        <w:rPr>
          <w:rFonts w:hint="eastAsia" w:eastAsia="宋体"/>
          <w:b/>
          <w:bCs/>
          <w:color w:val="auto"/>
          <w:highlight w:val="none"/>
          <w:lang w:val="en-US" w:eastAsia="zh-CN"/>
        </w:rPr>
        <w:t>2</w:t>
      </w:r>
      <w:r>
        <w:rPr>
          <w:rFonts w:hint="eastAsia" w:ascii="Times New Roman" w:hAnsi="Times New Roman" w:eastAsia="宋体"/>
          <w:b/>
          <w:bCs/>
          <w:color w:val="auto"/>
          <w:highlight w:val="none"/>
        </w:rPr>
        <w:t xml:space="preserve"> 与《矿山生态环境保护与污染防治技术政策》的相符性分析</w:t>
      </w:r>
    </w:p>
    <w:tbl>
      <w:tblPr>
        <w:tblStyle w:val="36"/>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2694"/>
        <w:gridCol w:w="11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color w:val="auto"/>
                <w:highlight w:val="none"/>
                <w:lang w:val="en-US" w:eastAsia="zh-CN"/>
              </w:rPr>
              <w:t>政策</w:t>
            </w:r>
            <w:r>
              <w:rPr>
                <w:rFonts w:hint="eastAsia" w:ascii="Times New Roman" w:hAnsi="Times New Roman" w:eastAsia="宋体"/>
                <w:color w:val="auto"/>
                <w:highlight w:val="none"/>
              </w:rPr>
              <w:t>要求</w:t>
            </w:r>
          </w:p>
        </w:tc>
        <w:tc>
          <w:tcPr>
            <w:tcW w:w="269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本项目情况</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是否相符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禁止在依法划定的自然保护区</w:t>
            </w:r>
            <w:r>
              <w:rPr>
                <w:rFonts w:hint="eastAsia" w:ascii="Times New Roman" w:hAnsi="Times New Roman"/>
                <w:color w:val="auto"/>
                <w:highlight w:val="none"/>
                <w:lang w:eastAsia="zh-CN"/>
              </w:rPr>
              <w:t>（</w:t>
            </w:r>
            <w:r>
              <w:rPr>
                <w:rFonts w:hint="default" w:ascii="Times New Roman" w:hAnsi="Times New Roman" w:eastAsia="宋体"/>
                <w:color w:val="auto"/>
                <w:highlight w:val="none"/>
              </w:rPr>
              <w:t>核心区、缓冲区</w:t>
            </w:r>
            <w:r>
              <w:rPr>
                <w:rFonts w:hint="eastAsia" w:ascii="Times New Roman" w:hAnsi="Times New Roman"/>
                <w:color w:val="auto"/>
                <w:highlight w:val="none"/>
                <w:lang w:eastAsia="zh-CN"/>
              </w:rPr>
              <w:t>）</w:t>
            </w:r>
            <w:r>
              <w:rPr>
                <w:rFonts w:hint="default" w:ascii="Times New Roman" w:hAnsi="Times New Roman" w:eastAsia="宋体"/>
                <w:color w:val="auto"/>
                <w:highlight w:val="none"/>
              </w:rPr>
              <w:t>、风景名胜区、森林公园、饮用水水源保护区、重要湖泊周边、文物古迹所在地、地质遗迹保护区、基本农田保护区等区域内采矿。</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本项目不在上述区域</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对矿山基建产生的表土、底土和岩石等应分类堆放、分类管理和充分利用。对表土、底土和适于植物生长的地层物质均应进行保护性堆存和利用，可优先用作废弃地复垦时的土壤重构用土。</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本项目</w:t>
            </w:r>
            <w:r>
              <w:rPr>
                <w:rFonts w:hint="eastAsia" w:ascii="Times New Roman" w:hAnsi="Times New Roman"/>
                <w:color w:val="auto"/>
                <w:highlight w:val="none"/>
                <w:lang w:val="en-US" w:eastAsia="zh-CN"/>
              </w:rPr>
              <w:t>基建产生的表土单独存放，用于土地复垦等</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鼓励将矿坑水优先利用为生产用水，作为辅助水源 加以利用。</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本项目</w:t>
            </w:r>
            <w:r>
              <w:rPr>
                <w:rFonts w:hint="eastAsia"/>
                <w:color w:val="auto"/>
                <w:highlight w:val="none"/>
                <w:lang w:val="en-US" w:eastAsia="zh-CN"/>
              </w:rPr>
              <w:t>无采矿</w:t>
            </w:r>
            <w:r>
              <w:rPr>
                <w:rFonts w:hint="eastAsia" w:ascii="Times New Roman" w:hAnsi="Times New Roman"/>
                <w:color w:val="auto"/>
                <w:highlight w:val="none"/>
                <w:lang w:val="en-US" w:eastAsia="zh-CN"/>
              </w:rPr>
              <w:t>涌水</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宜采用安装除尘装置，湿式作业，个体防护等措施防治凿岩、铲装、运输等采矿作业中的粉尘污染</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本项目</w:t>
            </w:r>
            <w:r>
              <w:rPr>
                <w:rFonts w:hint="eastAsia" w:ascii="Times New Roman" w:hAnsi="Times New Roman"/>
                <w:color w:val="auto"/>
                <w:highlight w:val="none"/>
                <w:lang w:val="en-US" w:eastAsia="zh-CN"/>
              </w:rPr>
              <w:t>采矿采用湿式作业</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对采矿活动所产生的固体废物，应使用专用场所堆放，并采取有效措施防止二次环境污染及诱发次生地质灾害。</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eastAsia="zh-CN"/>
              </w:rPr>
              <w:t>废石</w:t>
            </w:r>
            <w:r>
              <w:rPr>
                <w:rFonts w:hint="eastAsia"/>
                <w:color w:val="auto"/>
                <w:highlight w:val="none"/>
                <w:lang w:val="en-US" w:eastAsia="zh-CN"/>
              </w:rPr>
              <w:t>和底泥</w:t>
            </w:r>
            <w:r>
              <w:rPr>
                <w:rFonts w:hint="eastAsia" w:ascii="Times New Roman" w:hAnsi="Times New Roman" w:eastAsia="宋体"/>
                <w:color w:val="auto"/>
                <w:highlight w:val="none"/>
                <w:lang w:eastAsia="zh-CN"/>
              </w:rPr>
              <w:t>回用于</w:t>
            </w:r>
            <w:r>
              <w:rPr>
                <w:rFonts w:hint="eastAsia"/>
                <w:color w:val="auto"/>
                <w:highlight w:val="none"/>
                <w:lang w:val="en-US" w:eastAsia="zh-CN"/>
              </w:rPr>
              <w:t>采空区</w:t>
            </w:r>
            <w:r>
              <w:rPr>
                <w:rFonts w:hint="eastAsia" w:ascii="Times New Roman" w:hAnsi="Times New Roman" w:eastAsia="宋体"/>
                <w:color w:val="auto"/>
                <w:highlight w:val="none"/>
                <w:lang w:eastAsia="zh-CN"/>
              </w:rPr>
              <w:t>回填</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auto"/>
                <w:highlight w:val="none"/>
              </w:rPr>
            </w:pPr>
            <w:r>
              <w:rPr>
                <w:rFonts w:hint="default" w:ascii="Times New Roman" w:hAnsi="Times New Roman" w:eastAsia="宋体"/>
                <w:color w:val="auto"/>
                <w:highlight w:val="none"/>
              </w:rPr>
              <w:t>矿山生产过程中应采取种植植物和覆盖等复垦措施，对露天坑、废石场、尾矿库、矸石山等永久性坡面进行稳定化处理，防止水土流失和滑坡。</w:t>
            </w:r>
          </w:p>
        </w:tc>
        <w:tc>
          <w:tcPr>
            <w:tcW w:w="2694"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项目采取复垦措施，对各永久性坡面进行稳定化处理，防止水土流失和滑坡</w:t>
            </w:r>
          </w:p>
        </w:tc>
        <w:tc>
          <w:tcPr>
            <w:tcW w:w="1184" w:type="dxa"/>
            <w:tcBorders>
              <w:tl2br w:val="nil"/>
              <w:tr2bl w:val="nil"/>
            </w:tcBorders>
            <w:vAlign w:val="center"/>
          </w:tcPr>
          <w:p>
            <w:pPr>
              <w:pStyle w:val="52"/>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auto"/>
                <w:highlight w:val="none"/>
              </w:rPr>
            </w:pPr>
            <w:r>
              <w:rPr>
                <w:rFonts w:hint="default" w:ascii="Times New Roman" w:hAnsi="Times New Roman" w:eastAsia="宋体"/>
                <w:color w:val="auto"/>
                <w:highlight w:val="none"/>
              </w:rPr>
              <w:t>历史遗留矿山开采破坏土地复垦率达到 45%以上</w:t>
            </w:r>
            <w:r>
              <w:rPr>
                <w:rFonts w:hint="eastAsia" w:ascii="Times New Roman" w:hAnsi="Times New Roman"/>
                <w:color w:val="auto"/>
                <w:highlight w:val="none"/>
                <w:lang w:eastAsia="zh-CN"/>
              </w:rPr>
              <w:t>，</w:t>
            </w:r>
            <w:r>
              <w:rPr>
                <w:rFonts w:hint="default" w:ascii="Times New Roman" w:hAnsi="Times New Roman" w:eastAsia="宋体"/>
                <w:color w:val="auto"/>
                <w:highlight w:val="none"/>
              </w:rPr>
              <w:t>新建矿山应做到边开采、边复垦，破坏土地复垦率达到85%以上。</w:t>
            </w:r>
          </w:p>
        </w:tc>
        <w:tc>
          <w:tcPr>
            <w:tcW w:w="2694"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项目土地复垦率达到85%以上</w:t>
            </w:r>
          </w:p>
        </w:tc>
        <w:tc>
          <w:tcPr>
            <w:tcW w:w="1184" w:type="dxa"/>
            <w:tcBorders>
              <w:tl2br w:val="nil"/>
              <w:tr2bl w:val="nil"/>
            </w:tcBorders>
            <w:vAlign w:val="center"/>
          </w:tcPr>
          <w:p>
            <w:pPr>
              <w:pStyle w:val="5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符合</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由上表可知，本项目符合《矿山生态环境保护与污染防治技术政策》中的相关要求。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13" w:name="_Toc14497"/>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w:t>
      </w:r>
      <w:r>
        <w:rPr>
          <w:rFonts w:hint="eastAsia" w:eastAsia="宋体"/>
          <w:b/>
          <w:bCs w:val="0"/>
          <w:color w:val="auto"/>
          <w:sz w:val="30"/>
          <w:szCs w:val="30"/>
          <w:highlight w:val="none"/>
          <w:lang w:val="en-US" w:eastAsia="zh-CN"/>
        </w:rPr>
        <w:t>5</w:t>
      </w:r>
      <w:r>
        <w:rPr>
          <w:rFonts w:hint="eastAsia" w:ascii="Times New Roman" w:hAnsi="Times New Roman" w:eastAsia="宋体"/>
          <w:b/>
          <w:bCs w:val="0"/>
          <w:color w:val="auto"/>
          <w:sz w:val="30"/>
          <w:szCs w:val="30"/>
          <w:highlight w:val="none"/>
        </w:rPr>
        <w:t xml:space="preserve"> 选址合理性分析</w:t>
      </w:r>
      <w:bookmarkEnd w:id="13"/>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本项目位于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行政区划隶属于锡林郭勒盟</w:t>
      </w:r>
      <w:r>
        <w:rPr>
          <w:rFonts w:hint="eastAsia" w:eastAsia="宋体"/>
          <w:color w:val="auto"/>
          <w:highlight w:val="none"/>
          <w:lang w:val="en-US" w:eastAsia="zh-CN"/>
        </w:rPr>
        <w:t>苏尼特右旗</w:t>
      </w:r>
      <w:r>
        <w:rPr>
          <w:rFonts w:hint="eastAsia" w:ascii="Times New Roman" w:hAnsi="Times New Roman" w:eastAsia="宋体"/>
          <w:color w:val="auto"/>
          <w:highlight w:val="none"/>
          <w:lang w:val="en-US" w:eastAsia="zh-CN"/>
        </w:rPr>
        <w:t>朱日和镇管辖</w:t>
      </w:r>
      <w:r>
        <w:rPr>
          <w:rFonts w:ascii="Times New Roman" w:hAnsi="Times New Roman" w:eastAsia="宋体"/>
          <w:color w:val="auto"/>
          <w:highlight w:val="none"/>
        </w:rPr>
        <w:t>，选址概况如下所述：</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项目不在城市规划区范围之内，符合地区发展规划。</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项目区不涉及自然保护区、风景名胜区、文物古迹、世界文化和自然遗产地、饮用水水源保护区等环境敏感区域。</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项目区周围的敏感点较少，采取环评提出的生态保护和污染防治措施后，项目对这些周围环境的影响很小，未超出环境容许的限度。</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项目开发对生态环境有一定影响，按照土地复垦方案和环评提出的水土保持、生态恢复措施，可以使生态影响降至最低限度，不会影响当地生态环境的整体结构和主导服务功能。</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5</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项目所在区水资源丰富；电力充足。</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6</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矿区内部运输道路修建为</w:t>
      </w:r>
      <w:r>
        <w:rPr>
          <w:rFonts w:hint="eastAsia" w:eastAsia="宋体"/>
          <w:color w:val="auto"/>
          <w:highlight w:val="none"/>
          <w:lang w:val="en-US" w:eastAsia="zh-CN"/>
        </w:rPr>
        <w:t>水泥路</w:t>
      </w:r>
      <w:r>
        <w:rPr>
          <w:rFonts w:ascii="Times New Roman" w:hAnsi="Times New Roman" w:eastAsia="宋体"/>
          <w:color w:val="auto"/>
          <w:highlight w:val="none"/>
        </w:rPr>
        <w:t>，外部运输道路为</w:t>
      </w:r>
      <w:r>
        <w:rPr>
          <w:rFonts w:hint="eastAsia" w:eastAsia="宋体"/>
          <w:color w:val="auto"/>
          <w:highlight w:val="none"/>
          <w:lang w:val="en-US" w:eastAsia="zh-CN"/>
        </w:rPr>
        <w:t>水泥路</w:t>
      </w:r>
      <w:r>
        <w:rPr>
          <w:rFonts w:ascii="Times New Roman" w:hAnsi="Times New Roman" w:eastAsia="宋体"/>
          <w:color w:val="auto"/>
          <w:highlight w:val="none"/>
        </w:rPr>
        <w:t>矿区</w:t>
      </w:r>
      <w:r>
        <w:rPr>
          <w:rFonts w:hint="default" w:ascii="Times New Roman" w:hAnsi="Times New Roman" w:eastAsia="宋体"/>
          <w:color w:val="auto"/>
          <w:highlight w:val="none"/>
        </w:rPr>
        <w:t>-</w:t>
      </w:r>
      <w:r>
        <w:rPr>
          <w:rFonts w:ascii="Times New Roman" w:hAnsi="Times New Roman" w:eastAsia="宋体"/>
          <w:color w:val="auto"/>
          <w:highlight w:val="none"/>
        </w:rPr>
        <w:t>村通路段全长约</w:t>
      </w:r>
      <w:r>
        <w:rPr>
          <w:rFonts w:hint="eastAsia" w:eastAsia="宋体"/>
          <w:color w:val="auto"/>
          <w:highlight w:val="none"/>
          <w:lang w:val="en-US" w:eastAsia="zh-CN"/>
        </w:rPr>
        <w:t>3</w:t>
      </w:r>
      <w:r>
        <w:rPr>
          <w:rFonts w:hint="default" w:ascii="Times New Roman" w:hAnsi="Times New Roman" w:eastAsia="宋体"/>
          <w:color w:val="auto"/>
          <w:highlight w:val="none"/>
        </w:rPr>
        <w:t>km</w:t>
      </w:r>
      <w:r>
        <w:rPr>
          <w:rFonts w:ascii="Times New Roman" w:hAnsi="Times New Roman" w:eastAsia="宋体"/>
          <w:color w:val="auto"/>
          <w:highlight w:val="none"/>
        </w:rPr>
        <w:t>。</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综上所述，从环境影响角度分析，该项目选址基本可行。</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ascii="Times New Roman" w:hAnsi="Times New Roman" w:eastAsia="宋体" w:cstheme="minorBidi"/>
          <w:b/>
          <w:bCs/>
          <w:color w:val="FF0000"/>
          <w:sz w:val="30"/>
          <w:szCs w:val="30"/>
          <w:highlight w:val="none"/>
        </w:rPr>
      </w:pPr>
      <w:bookmarkStart w:id="14" w:name="_Toc8051012"/>
      <w:bookmarkStart w:id="15" w:name="_Toc5900"/>
      <w:r>
        <w:rPr>
          <w:rFonts w:hint="eastAsia" w:ascii="Times New Roman" w:hAnsi="Times New Roman" w:eastAsia="宋体" w:cstheme="minorBidi"/>
          <w:b/>
          <w:bCs/>
          <w:color w:val="FF0000"/>
          <w:sz w:val="30"/>
          <w:szCs w:val="30"/>
          <w:highlight w:val="none"/>
        </w:rPr>
        <w:t>1.</w:t>
      </w:r>
      <w:r>
        <w:rPr>
          <w:rFonts w:hint="eastAsia" w:ascii="Times New Roman" w:hAnsi="Times New Roman" w:eastAsia="宋体" w:cstheme="minorBidi"/>
          <w:b/>
          <w:bCs/>
          <w:color w:val="FF0000"/>
          <w:sz w:val="30"/>
          <w:szCs w:val="30"/>
          <w:highlight w:val="none"/>
          <w:lang w:val="en-US" w:eastAsia="zh-CN"/>
        </w:rPr>
        <w:t>4</w:t>
      </w:r>
      <w:r>
        <w:rPr>
          <w:rFonts w:hint="eastAsia" w:ascii="Times New Roman" w:hAnsi="Times New Roman" w:eastAsia="宋体" w:cstheme="minorBidi"/>
          <w:b/>
          <w:bCs/>
          <w:color w:val="FF0000"/>
          <w:sz w:val="30"/>
          <w:szCs w:val="30"/>
          <w:highlight w:val="none"/>
        </w:rPr>
        <w:t>.</w:t>
      </w:r>
      <w:r>
        <w:rPr>
          <w:rFonts w:hint="eastAsia" w:eastAsia="宋体" w:cstheme="minorBidi"/>
          <w:b/>
          <w:bCs/>
          <w:color w:val="FF0000"/>
          <w:sz w:val="30"/>
          <w:szCs w:val="30"/>
          <w:highlight w:val="none"/>
          <w:lang w:val="en-US" w:eastAsia="zh-CN"/>
        </w:rPr>
        <w:t>6</w:t>
      </w:r>
      <w:r>
        <w:rPr>
          <w:rFonts w:hint="eastAsia" w:ascii="Times New Roman" w:hAnsi="Times New Roman" w:eastAsia="宋体" w:cstheme="minorBidi"/>
          <w:b/>
          <w:bCs/>
          <w:color w:val="FF0000"/>
          <w:sz w:val="30"/>
          <w:szCs w:val="30"/>
          <w:highlight w:val="none"/>
        </w:rPr>
        <w:t xml:space="preserve"> 项目与“三线一单”</w:t>
      </w:r>
      <w:bookmarkEnd w:id="14"/>
      <w:r>
        <w:rPr>
          <w:rFonts w:hint="eastAsia" w:ascii="Times New Roman" w:hAnsi="Times New Roman" w:eastAsia="宋体" w:cstheme="minorBidi"/>
          <w:b/>
          <w:bCs/>
          <w:color w:val="FF0000"/>
          <w:sz w:val="30"/>
          <w:szCs w:val="30"/>
          <w:highlight w:val="none"/>
        </w:rPr>
        <w:t>的相符性</w:t>
      </w:r>
      <w:bookmarkEnd w:id="15"/>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FF0000"/>
          <w:highlight w:val="none"/>
        </w:rPr>
      </w:pPr>
      <w:r>
        <w:rPr>
          <w:rFonts w:hint="eastAsia" w:ascii="Times New Roman" w:hAnsi="Times New Roman" w:eastAsia="宋体" w:cstheme="minorBidi"/>
          <w:color w:val="FF0000"/>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FF0000"/>
        </w:rPr>
      </w:pPr>
      <w:r>
        <w:rPr>
          <w:rFonts w:hint="eastAsia" w:ascii="Times New Roman" w:hAnsi="Times New Roman" w:eastAsia="宋体" w:cstheme="minorBidi"/>
          <w:color w:val="FF0000"/>
          <w:highlight w:val="none"/>
        </w:rPr>
        <w:t>本项目的建设不会突破环境质量底线、不涉及生态保护红线</w:t>
      </w:r>
      <w:r>
        <w:rPr>
          <w:rFonts w:hint="eastAsia" w:eastAsia="宋体" w:cstheme="minorBidi"/>
          <w:color w:val="FF0000"/>
          <w:highlight w:val="none"/>
          <w:lang w:eastAsia="zh-CN"/>
        </w:rPr>
        <w:t>，</w:t>
      </w:r>
      <w:r>
        <w:rPr>
          <w:rFonts w:hint="eastAsia" w:eastAsia="宋体" w:cstheme="minorBidi"/>
          <w:color w:val="FF0000"/>
          <w:highlight w:val="none"/>
          <w:lang w:val="en-US" w:eastAsia="zh-CN"/>
        </w:rPr>
        <w:t>本项目周边2km范围内无保护区分布</w:t>
      </w:r>
      <w:r>
        <w:rPr>
          <w:rFonts w:hint="eastAsia" w:ascii="Times New Roman" w:hAnsi="Times New Roman" w:eastAsia="宋体" w:cstheme="minorBidi"/>
          <w:color w:val="FF0000"/>
          <w:highlight w:val="none"/>
        </w:rPr>
        <w:t>；本项目营运过程中用水、用电均由</w:t>
      </w:r>
      <w:r>
        <w:rPr>
          <w:rFonts w:hint="eastAsia" w:eastAsia="宋体" w:cstheme="minorBidi"/>
          <w:color w:val="FF0000"/>
          <w:highlight w:val="none"/>
          <w:lang w:val="en-US" w:eastAsia="zh-CN"/>
        </w:rPr>
        <w:t>朱日和镇</w:t>
      </w:r>
      <w:r>
        <w:rPr>
          <w:rFonts w:hint="eastAsia" w:ascii="Times New Roman" w:hAnsi="Times New Roman" w:eastAsia="宋体" w:cstheme="minorBidi"/>
          <w:color w:val="FF0000"/>
          <w:highlight w:val="none"/>
        </w:rPr>
        <w:t>提供，项目用地性质为</w:t>
      </w:r>
      <w:r>
        <w:rPr>
          <w:rFonts w:hint="eastAsia" w:eastAsia="宋体" w:cstheme="minorBidi"/>
          <w:color w:val="FF0000"/>
          <w:highlight w:val="none"/>
          <w:lang w:val="en-US" w:eastAsia="zh-CN"/>
        </w:rPr>
        <w:t>采矿</w:t>
      </w:r>
      <w:r>
        <w:rPr>
          <w:rFonts w:hint="eastAsia" w:ascii="Times New Roman" w:hAnsi="Times New Roman" w:eastAsia="宋体" w:cstheme="minorBidi"/>
          <w:color w:val="FF0000"/>
          <w:highlight w:val="none"/>
        </w:rPr>
        <w:t>用地，本项目不超出当地资源利用上线。</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FF0000"/>
          <w:highlight w:val="none"/>
        </w:rPr>
      </w:pPr>
      <w:r>
        <w:rPr>
          <w:rFonts w:hint="eastAsia" w:ascii="Times New Roman" w:hAnsi="Times New Roman" w:eastAsia="宋体" w:cstheme="minorBidi"/>
          <w:color w:val="FF0000"/>
          <w:highlight w:val="none"/>
        </w:rPr>
        <w:t>根据《内蒙古自治区人民政府关于印发自治区国家重点生态功能区产业准入负面清单(试行)的通知》(内政发［2018］11号)，本项目建设所在地</w:t>
      </w:r>
      <w:r>
        <w:rPr>
          <w:rFonts w:hint="eastAsia" w:eastAsia="宋体" w:cstheme="minorBidi"/>
          <w:color w:val="FF0000"/>
          <w:highlight w:val="none"/>
          <w:lang w:val="en-US" w:eastAsia="zh-CN"/>
        </w:rPr>
        <w:t>苏尼特右旗</w:t>
      </w:r>
      <w:r>
        <w:rPr>
          <w:rFonts w:hint="eastAsia" w:ascii="Times New Roman" w:hAnsi="Times New Roman" w:eastAsia="宋体" w:cstheme="minorBidi"/>
          <w:color w:val="FF0000"/>
          <w:highlight w:val="none"/>
        </w:rPr>
        <w:t>地处浑善达克沙漠化防治生态功能区，</w:t>
      </w:r>
      <w:r>
        <w:rPr>
          <w:rFonts w:hint="eastAsia" w:eastAsia="宋体" w:cstheme="minorBidi"/>
          <w:color w:val="FF0000"/>
          <w:highlight w:val="none"/>
          <w:lang w:val="en-US" w:eastAsia="zh-CN"/>
        </w:rPr>
        <w:t>苏尼特右旗</w:t>
      </w:r>
      <w:r>
        <w:rPr>
          <w:rFonts w:hint="eastAsia" w:ascii="Times New Roman" w:hAnsi="Times New Roman" w:eastAsia="宋体" w:cstheme="minorBidi"/>
          <w:color w:val="FF0000"/>
          <w:highlight w:val="none"/>
          <w:lang w:val="en-US" w:eastAsia="zh-CN"/>
        </w:rPr>
        <w:t>属于国家重点生态功能区，落实</w:t>
      </w:r>
      <w:r>
        <w:rPr>
          <w:rFonts w:hint="eastAsia" w:ascii="Times New Roman" w:hAnsi="Times New Roman" w:eastAsia="宋体" w:cstheme="minorBidi"/>
          <w:color w:val="FF0000"/>
          <w:highlight w:val="none"/>
        </w:rPr>
        <w:t>本项目属于《国民经济行业分类》（GB/T 4754-2017）中“</w:t>
      </w:r>
      <w:r>
        <w:rPr>
          <w:rFonts w:hint="eastAsia" w:ascii="Times New Roman" w:hAnsi="Times New Roman" w:eastAsia="宋体" w:cstheme="minorBidi"/>
          <w:color w:val="FF0000"/>
          <w:highlight w:val="none"/>
          <w:lang w:val="en-US" w:eastAsia="zh-CN"/>
        </w:rPr>
        <w:t>10</w:t>
      </w:r>
      <w:r>
        <w:rPr>
          <w:rFonts w:hint="eastAsia" w:ascii="Times New Roman" w:hAnsi="Times New Roman" w:eastAsia="宋体" w:cstheme="minorBidi"/>
          <w:color w:val="FF0000"/>
          <w:highlight w:val="none"/>
        </w:rPr>
        <w:t>，非金属矿采选业”</w:t>
      </w:r>
      <w:r>
        <w:rPr>
          <w:rFonts w:hint="eastAsia" w:ascii="Times New Roman" w:hAnsi="Times New Roman" w:eastAsia="宋体" w:cstheme="minorBidi"/>
          <w:color w:val="FF0000"/>
          <w:highlight w:val="none"/>
          <w:lang w:val="en-US" w:eastAsia="zh-CN"/>
        </w:rPr>
        <w:t>中的“101土砂石开采”中的“1013耐火土石开采”</w:t>
      </w:r>
      <w:r>
        <w:rPr>
          <w:rFonts w:hint="eastAsia" w:ascii="Times New Roman" w:hAnsi="Times New Roman" w:eastAsia="宋体" w:cstheme="minorBidi"/>
          <w:color w:val="FF0000"/>
          <w:highlight w:val="none"/>
        </w:rPr>
        <w:t>，不涉及负面清中的禁止类和限制类。项目的建设符合国家产业政策，不违背环境准入负面清单的原则要求。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stheme="minorBidi"/>
          <w:color w:val="FF0000"/>
          <w:highlight w:val="none"/>
          <w:lang w:eastAsia="zh-CN"/>
        </w:rPr>
      </w:pPr>
      <w:r>
        <w:rPr>
          <w:rFonts w:hint="eastAsia" w:eastAsia="宋体" w:cstheme="minorBidi"/>
          <w:color w:val="FF0000"/>
          <w:highlight w:val="none"/>
          <w:lang w:eastAsia="zh-CN"/>
        </w:rPr>
        <w:t>综上所述，本项目建设符合国家“三线一单”政策要求。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FF0000"/>
          <w:sz w:val="30"/>
          <w:szCs w:val="30"/>
          <w:highlight w:val="none"/>
          <w:lang w:val="en-US" w:eastAsia="zh-CN"/>
        </w:rPr>
      </w:pPr>
      <w:r>
        <w:rPr>
          <w:rFonts w:hint="eastAsia" w:ascii="Times New Roman" w:hAnsi="Times New Roman" w:eastAsia="宋体"/>
          <w:b/>
          <w:bCs w:val="0"/>
          <w:color w:val="FF0000"/>
          <w:sz w:val="30"/>
          <w:szCs w:val="30"/>
          <w:highlight w:val="none"/>
          <w:lang w:val="en-US" w:eastAsia="zh-CN"/>
        </w:rPr>
        <w:t>1.4.7 与《内蒙古自治区人民政府办公厅关于矿产资源开发中加强草原生态保护的意见》</w:t>
      </w:r>
      <w:r>
        <w:rPr>
          <w:rFonts w:hint="eastAsia" w:eastAsia="宋体"/>
          <w:b/>
          <w:bCs w:val="0"/>
          <w:color w:val="FF0000"/>
          <w:sz w:val="30"/>
          <w:szCs w:val="30"/>
          <w:highlight w:val="none"/>
          <w:lang w:val="en-US" w:eastAsia="zh-CN"/>
        </w:rPr>
        <w:t>的符合性分析</w:t>
      </w:r>
    </w:p>
    <w:p>
      <w:pPr>
        <w:ind w:firstLine="480"/>
        <w:rPr>
          <w:rFonts w:ascii="Times New Roman" w:hAnsi="Times New Roman" w:eastAsia="宋体"/>
          <w:color w:val="FF0000"/>
          <w:highlight w:val="none"/>
        </w:rPr>
      </w:pPr>
      <w:r>
        <w:rPr>
          <w:rFonts w:hint="eastAsia" w:ascii="Times New Roman" w:hAnsi="Times New Roman" w:eastAsia="宋体"/>
          <w:color w:val="FF0000"/>
          <w:highlight w:val="none"/>
        </w:rPr>
        <w:t>为深入贯彻落实习近平生态文明思想，落实最严格草原生态保护制度，有效解决矿产资源开发利用过程中破坏草原生态问题，经自治区人民政府同意，提出了《</w:t>
      </w:r>
      <w:r>
        <w:rPr>
          <w:rFonts w:hint="eastAsia" w:ascii="Times New Roman" w:hAnsi="Times New Roman" w:eastAsia="宋体"/>
          <w:color w:val="FF0000"/>
          <w:highlight w:val="none"/>
          <w:lang w:val="en-US" w:eastAsia="zh-CN"/>
        </w:rPr>
        <w:t>内蒙古自治区人民政府办公厅关于矿产资源开发中加强草原生态保护的意见</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eastAsia="zh-CN"/>
        </w:rPr>
        <w:t>（内政办发〔2021〕7号）</w:t>
      </w:r>
      <w:r>
        <w:rPr>
          <w:rFonts w:hint="eastAsia" w:ascii="Times New Roman" w:hAnsi="Times New Roman" w:eastAsia="宋体"/>
          <w:color w:val="FF0000"/>
          <w:highlight w:val="none"/>
        </w:rPr>
        <w:t>。本项目与该</w:t>
      </w:r>
      <w:r>
        <w:rPr>
          <w:rFonts w:hint="eastAsia" w:eastAsia="宋体"/>
          <w:color w:val="FF0000"/>
          <w:highlight w:val="none"/>
          <w:lang w:val="en-US" w:eastAsia="zh-CN"/>
        </w:rPr>
        <w:t>意见</w:t>
      </w:r>
      <w:r>
        <w:rPr>
          <w:rFonts w:hint="eastAsia" w:ascii="Times New Roman" w:hAnsi="Times New Roman" w:eastAsia="宋体"/>
          <w:color w:val="FF0000"/>
          <w:highlight w:val="none"/>
        </w:rPr>
        <w:t>的对比情况见表1.</w:t>
      </w:r>
      <w:r>
        <w:rPr>
          <w:rFonts w:hint="eastAsia" w:eastAsia="宋体"/>
          <w:color w:val="FF0000"/>
          <w:highlight w:val="none"/>
          <w:lang w:val="en-US" w:eastAsia="zh-CN"/>
        </w:rPr>
        <w:t>4-3</w:t>
      </w:r>
      <w:r>
        <w:rPr>
          <w:rFonts w:hint="eastAsia" w:ascii="Times New Roman" w:hAnsi="Times New Roman" w:eastAsia="宋体"/>
          <w:color w:val="FF0000"/>
          <w:highlight w:val="none"/>
        </w:rPr>
        <w:t>。</w:t>
      </w:r>
    </w:p>
    <w:p>
      <w:pPr>
        <w:pStyle w:val="51"/>
        <w:rPr>
          <w:rFonts w:ascii="Times New Roman" w:hAnsi="Times New Roman" w:eastAsia="宋体"/>
          <w:b/>
          <w:bCs/>
          <w:color w:val="FF0000"/>
          <w:highlight w:val="none"/>
        </w:rPr>
      </w:pPr>
      <w:r>
        <w:rPr>
          <w:rFonts w:hint="eastAsia" w:ascii="Times New Roman" w:hAnsi="Times New Roman" w:eastAsia="宋体"/>
          <w:b/>
          <w:bCs/>
          <w:color w:val="FF0000"/>
          <w:highlight w:val="none"/>
        </w:rPr>
        <w:t>表1.</w:t>
      </w:r>
      <w:r>
        <w:rPr>
          <w:rFonts w:hint="eastAsia" w:eastAsia="宋体"/>
          <w:b/>
          <w:bCs/>
          <w:color w:val="FF0000"/>
          <w:highlight w:val="none"/>
          <w:lang w:val="en-US" w:eastAsia="zh-CN"/>
        </w:rPr>
        <w:t>4</w:t>
      </w:r>
      <w:r>
        <w:rPr>
          <w:rFonts w:hint="eastAsia" w:ascii="Times New Roman" w:hAnsi="Times New Roman" w:eastAsia="宋体"/>
          <w:b/>
          <w:bCs/>
          <w:color w:val="FF0000"/>
          <w:highlight w:val="none"/>
        </w:rPr>
        <w:t>-</w:t>
      </w:r>
      <w:r>
        <w:rPr>
          <w:rFonts w:hint="eastAsia" w:eastAsia="宋体"/>
          <w:b/>
          <w:bCs/>
          <w:color w:val="FF0000"/>
          <w:highlight w:val="none"/>
          <w:lang w:val="en-US" w:eastAsia="zh-CN"/>
        </w:rPr>
        <w:t>3</w:t>
      </w:r>
      <w:r>
        <w:rPr>
          <w:rFonts w:hint="eastAsia" w:ascii="Times New Roman" w:hAnsi="Times New Roman" w:eastAsia="宋体"/>
          <w:b/>
          <w:bCs/>
          <w:color w:val="FF0000"/>
          <w:highlight w:val="none"/>
        </w:rPr>
        <w:t xml:space="preserve"> 与《</w:t>
      </w:r>
      <w:r>
        <w:rPr>
          <w:rFonts w:hint="eastAsia" w:ascii="Times New Roman" w:hAnsi="Times New Roman" w:eastAsia="宋体"/>
          <w:b/>
          <w:bCs/>
          <w:color w:val="FF0000"/>
          <w:highlight w:val="none"/>
          <w:lang w:val="en-US" w:eastAsia="zh-CN"/>
        </w:rPr>
        <w:t>内蒙古自治区人民政府办公厅关于矿产资源开发中加强草原生态保护的意见</w:t>
      </w:r>
      <w:r>
        <w:rPr>
          <w:rFonts w:hint="eastAsia" w:ascii="Times New Roman" w:hAnsi="Times New Roman" w:eastAsia="宋体"/>
          <w:b/>
          <w:bCs/>
          <w:color w:val="FF0000"/>
          <w:highlight w:val="none"/>
        </w:rPr>
        <w:t>》的相符性分析</w:t>
      </w:r>
    </w:p>
    <w:tbl>
      <w:tblPr>
        <w:tblStyle w:val="36"/>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2694"/>
        <w:gridCol w:w="11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color w:val="FF0000"/>
                <w:highlight w:val="none"/>
                <w:lang w:val="en-US" w:eastAsia="zh-CN"/>
              </w:rPr>
              <w:t>意见</w:t>
            </w:r>
            <w:r>
              <w:rPr>
                <w:rFonts w:hint="eastAsia" w:ascii="Times New Roman" w:hAnsi="Times New Roman" w:eastAsia="宋体"/>
                <w:color w:val="FF0000"/>
                <w:highlight w:val="none"/>
              </w:rPr>
              <w:t>要求</w:t>
            </w:r>
          </w:p>
        </w:tc>
        <w:tc>
          <w:tcPr>
            <w:tcW w:w="269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本项目情况</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是否相符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yellow"/>
              </w:rPr>
            </w:pPr>
            <w:r>
              <w:rPr>
                <w:rFonts w:ascii="Times New Roman" w:hAnsi="Times New Roman" w:eastAsia="宋体"/>
                <w:color w:val="FF0000"/>
                <w:highlight w:val="none"/>
              </w:rPr>
              <w:t>严格控制草原上新建矿产资源开发项目</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本项目</w:t>
            </w:r>
            <w:r>
              <w:rPr>
                <w:rFonts w:hint="eastAsia"/>
                <w:color w:val="FF0000"/>
                <w:highlight w:val="none"/>
                <w:lang w:val="en-US" w:eastAsia="zh-CN"/>
              </w:rPr>
              <w:t>为扩建项目，但采矿范围不增加，不属于新建项目</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严格规范草原上已建矿产资源开发项目。对依法批准的草原上已建和在建矿产资源开发项目，要严格执行矿产资源开发和草原生态保护法律法规和政策，不得在依法确定的矿区范围外平面增扩面积，不得未经批准由井工开采变为露天开采，严格控制排渣场、排土场、煤矸石堆场、场区道路占用草原面积。对申请接续用地占用草原的，要按照矿山地质环境保护与土地复垦方案要求，对原有矿山用地进行相应治理后，方可申请使用草原，资源枯竭服务期满后退出并恢复植被。</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苏尼特右旗自然资源局针对越界开采部分，已进行处罚，建设单位已缴纳罚款，并针对越界开采部分进行植被恢复；本项目开采方式未发生变化；本项目产生的废石弃土全部回填至采空区，不设单独排土场，进场道路沿用现有，无新增</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严格矿山环境综合治理。按照</w:t>
            </w:r>
            <w:r>
              <w:rPr>
                <w:rFonts w:hint="eastAsia"/>
                <w:color w:val="FF0000"/>
                <w:highlight w:val="none"/>
                <w:lang w:eastAsia="zh-CN"/>
              </w:rPr>
              <w:t>“</w:t>
            </w:r>
            <w:r>
              <w:rPr>
                <w:rFonts w:ascii="Times New Roman" w:hAnsi="Times New Roman" w:eastAsia="宋体"/>
                <w:color w:val="FF0000"/>
                <w:highlight w:val="none"/>
              </w:rPr>
              <w:t>谁破坏、谁治理</w:t>
            </w:r>
            <w:r>
              <w:rPr>
                <w:rFonts w:hint="eastAsia"/>
                <w:color w:val="FF0000"/>
                <w:highlight w:val="none"/>
                <w:lang w:eastAsia="zh-CN"/>
              </w:rPr>
              <w:t>”</w:t>
            </w:r>
            <w:r>
              <w:rPr>
                <w:rFonts w:ascii="Times New Roman" w:hAnsi="Times New Roman" w:eastAsia="宋体"/>
                <w:color w:val="FF0000"/>
                <w:highlight w:val="none"/>
              </w:rPr>
              <w:t>原则，严格执行矿山生态环境保护与恢复治理标准，因地制宜开展生态修复，提升废弃矿山、采矿沉陷区和煤田（矸石）火区治理效果。自然资源、生态环境、林草等部门要按照职能职责，督促矿产资源开发企业严格落实矿山地质环境保护与土地复垦方案，切实做好被占用草原的矿山环境综合治理工作。</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企业已于2020年9月编制矿山地质环境保护与土地复垦方案，并于2021年4月~2021年8月进行土地平整与复垦</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严格监管草原矿产资源开发。加强统筹协调，明确草原矿产资源开发利用的监管责任，督促各级自然资源、生态环境、能源、林草、水利等部门按照职能职责，进一步做好草原矿产资源开发利用事中事后监管，切实形成监管合力。自然资源部门要强化矿山地质环境治理监管，严格落实绿色矿山综合治理工作要求。生态环境部门要督促企业严格落实环境保护措施，强化矿山“三废”治理及污染物达标排放监管工作。林草部门要加大矿区草原保护监督巡查力度，做好日常监管工作。水利部门要依法依规加强草原矿区水资源保护监管工作。充分利用“天空看、地面查”等现代科技手段，开展全覆盖式监督检查，实现全方位监测监管，督促企业依法依规开发矿产资源。对日常监管中发现的问题，要建立工作台账，实行整改销号制度。</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本矿山已按照绿色矿山要求进行建设，预计2021年年底进行绿色矿山验收工作</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yellow"/>
              </w:rPr>
            </w:pPr>
            <w:r>
              <w:rPr>
                <w:rFonts w:ascii="Times New Roman" w:hAnsi="Times New Roman" w:eastAsia="宋体"/>
                <w:color w:val="FF0000"/>
                <w:highlight w:val="none"/>
              </w:rPr>
              <w:t>严厉打击矿产资源开发违法占用草原行为。各级综合执法机构要加大执法力度，坚持有法必依、执法必严、违法必究的原则，对未批先建、少批多占，以临时名义长期占用草原等违法违规行为，依法依规严厉查处。对拒不履行整改义务，乱占滥用草原的企业，依法列入诚信体系“黑名单”。对矿产资源开发中违法占用草原构成犯罪的，依法移送司法机关追究刑事责任。</w:t>
            </w:r>
          </w:p>
        </w:tc>
        <w:tc>
          <w:tcPr>
            <w:tcW w:w="2694" w:type="dxa"/>
            <w:tcBorders>
              <w:tl2br w:val="nil"/>
              <w:tr2bl w:val="nil"/>
            </w:tcBorders>
            <w:vAlign w:val="center"/>
          </w:tcPr>
          <w:p>
            <w:pPr>
              <w:pStyle w:val="52"/>
              <w:rPr>
                <w:rFonts w:hint="default" w:ascii="Times New Roman" w:hAnsi="Times New Roman" w:eastAsia="宋体"/>
                <w:color w:val="auto"/>
                <w:highlight w:val="yellow"/>
                <w:lang w:val="en-US"/>
              </w:rPr>
            </w:pPr>
            <w:r>
              <w:rPr>
                <w:rFonts w:hint="eastAsia"/>
                <w:color w:val="FF0000"/>
                <w:highlight w:val="none"/>
                <w:lang w:val="en-US" w:eastAsia="zh-CN"/>
              </w:rPr>
              <w:t>苏尼特右旗自然资源局针对越界开采部分，已进行处罚，建设单位已缴纳罚款，并针对越界开采部分进行植被恢复</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FF0000"/>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FF0000"/>
          <w:highlight w:val="none"/>
          <w:lang w:eastAsia="zh-CN"/>
        </w:rPr>
      </w:pPr>
      <w:r>
        <w:rPr>
          <w:rFonts w:hint="eastAsia" w:ascii="Times New Roman" w:hAnsi="Times New Roman" w:eastAsia="宋体"/>
          <w:color w:val="FF0000"/>
          <w:highlight w:val="none"/>
        </w:rPr>
        <w:t>由上表可知，本项目符合《</w:t>
      </w:r>
      <w:r>
        <w:rPr>
          <w:rFonts w:hint="eastAsia" w:ascii="Times New Roman" w:hAnsi="Times New Roman" w:eastAsia="宋体"/>
          <w:color w:val="FF0000"/>
          <w:highlight w:val="none"/>
          <w:lang w:val="en-US" w:eastAsia="zh-CN"/>
        </w:rPr>
        <w:t>内蒙古自治区人民政府办公厅关于矿产资源开发中加强草原生态保护的意见</w:t>
      </w:r>
      <w:r>
        <w:rPr>
          <w:rFonts w:hint="eastAsia" w:ascii="Times New Roman" w:hAnsi="Times New Roman" w:eastAsia="宋体"/>
          <w:color w:val="FF0000"/>
          <w:highlight w:val="none"/>
        </w:rPr>
        <w:t>》中的相关要求</w:t>
      </w:r>
      <w:r>
        <w:rPr>
          <w:rFonts w:hint="eastAsia" w:eastAsia="宋体" w:cstheme="minorBidi"/>
          <w:color w:val="FF0000"/>
          <w:highlight w:val="none"/>
          <w:lang w:eastAsia="zh-CN"/>
        </w:rPr>
        <w:t>。</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16" w:name="_Toc28213"/>
      <w:r>
        <w:rPr>
          <w:rFonts w:hint="eastAsia" w:ascii="Times New Roman" w:hAnsi="Times New Roman" w:eastAsia="宋体"/>
          <w:b/>
          <w:bCs w:val="0"/>
          <w:color w:val="auto"/>
          <w:highlight w:val="none"/>
        </w:rPr>
        <w:t>1.</w:t>
      </w:r>
      <w:r>
        <w:rPr>
          <w:rFonts w:hint="eastAsia" w:eastAsia="宋体"/>
          <w:b/>
          <w:bCs w:val="0"/>
          <w:color w:val="auto"/>
          <w:highlight w:val="none"/>
          <w:lang w:val="en-US" w:eastAsia="zh-CN"/>
        </w:rPr>
        <w:t>5</w:t>
      </w:r>
      <w:r>
        <w:rPr>
          <w:rFonts w:hint="eastAsia" w:ascii="Times New Roman" w:hAnsi="Times New Roman" w:eastAsia="宋体"/>
          <w:b/>
          <w:bCs w:val="0"/>
          <w:color w:val="auto"/>
          <w:highlight w:val="none"/>
        </w:rPr>
        <w:t xml:space="preserve"> 关注的主要环境问题及环境影响</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根据项目特点及现场调查结果，项目关注的主要环境问题及环境影响包括：</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项目建设与国家及地方产业政策的符合性问题。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项目施工及运营过程中废气、废水、噪声、固体废物等对周围环境的影响。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重点关注项目运营期产生的大气污染物和噪声的达标排放情况，拟采取的污染防治措施的可行性，固体废物的处置方式及可行性。</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17" w:name="_Toc7987"/>
      <w:r>
        <w:rPr>
          <w:rFonts w:hint="eastAsia" w:ascii="Times New Roman" w:hAnsi="Times New Roman" w:eastAsia="宋体"/>
          <w:b/>
          <w:bCs w:val="0"/>
          <w:color w:val="auto"/>
          <w:highlight w:val="none"/>
        </w:rPr>
        <w:t>1.</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rPr>
        <w:t xml:space="preserve"> 环境影响评价的主要结论</w:t>
      </w:r>
      <w:bookmarkEnd w:id="17"/>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工程的建设符合国家产业政策，项目选址环境可行，平面布局科学；通过对本工程施工期及运营期产生的污染源强及对环境的影响进行预测、分析，结果表明本工程所采用的生产工艺技术合理，符合环保政策要求。该项目拟采取的“三废”治理方案有效、合理，技术经济上可行，在切实落实本环评报告中提出的各项污染物防治措施以及生产设施正常运行状况下，各污染物排放不会改变周围环境质量现状水平，环境风险可防控。</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次评价认为，在严格执行国家各项环保规章制度，在按“三同时”要求严格落实各项污控措施对策条件下，并切实落实本报告书所提出的各项污染物防治措施，保证环保设施正常运转的前提下，从环境保护的角度上看，本工程的建设是可行的。</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yellow"/>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ascii="Times New Roman" w:hAnsi="Times New Roman" w:eastAsia="宋体"/>
          <w:b/>
          <w:bCs w:val="0"/>
          <w:color w:val="auto"/>
          <w:sz w:val="36"/>
          <w:highlight w:val="none"/>
        </w:rPr>
      </w:pPr>
      <w:bookmarkStart w:id="18" w:name="_Toc32701"/>
      <w:r>
        <w:rPr>
          <w:rFonts w:hint="eastAsia" w:ascii="Times New Roman" w:hAnsi="Times New Roman" w:eastAsia="宋体"/>
          <w:b/>
          <w:bCs w:val="0"/>
          <w:color w:val="auto"/>
          <w:sz w:val="36"/>
          <w:highlight w:val="none"/>
        </w:rPr>
        <w:t>2 总则</w:t>
      </w:r>
      <w:bookmarkEnd w:id="18"/>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19" w:name="_Toc32446"/>
      <w:r>
        <w:rPr>
          <w:rFonts w:hint="eastAsia" w:ascii="Times New Roman" w:hAnsi="Times New Roman" w:eastAsia="宋体"/>
          <w:b/>
          <w:bCs w:val="0"/>
          <w:color w:val="auto"/>
          <w:highlight w:val="none"/>
        </w:rPr>
        <w:t>2.1 编制依据</w:t>
      </w:r>
      <w:bookmarkEnd w:id="19"/>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20" w:name="_Toc28233"/>
      <w:r>
        <w:rPr>
          <w:rFonts w:hint="eastAsia" w:ascii="Times New Roman" w:hAnsi="Times New Roman" w:eastAsia="宋体"/>
          <w:b/>
          <w:bCs w:val="0"/>
          <w:color w:val="auto"/>
          <w:sz w:val="30"/>
          <w:highlight w:val="none"/>
        </w:rPr>
        <w:t>2.1.1 环境保护法律</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）《中华人民共和国环境保护法》（中华人民共和国主席令[2014]第9号），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2015年1月1日起施行；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）《中华人民共和国环境影响评价法（修正）》（第十三届全国人民代表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大会常务委员会第七次会议通过），2018年12月29日；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）《中华人民共和国大气污染防治法（修正）》（第十三届全国人民代表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大会常务委员会第六次会议），2018年10月26日；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）《中华人民共和国水污染防治法》（中华人民共和国主席令[2017]第70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号），2018年1月1日起施行；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）《中华人民共和国固体废物污染环境防治法》（第十</w:t>
      </w:r>
      <w:r>
        <w:rPr>
          <w:rFonts w:hint="eastAsia" w:ascii="Times New Roman" w:hAnsi="Times New Roman" w:eastAsia="宋体"/>
          <w:color w:val="auto"/>
          <w:highlight w:val="none"/>
          <w:lang w:val="en-US" w:eastAsia="zh-CN"/>
        </w:rPr>
        <w:t>三</w:t>
      </w:r>
      <w:r>
        <w:rPr>
          <w:rFonts w:hint="eastAsia" w:ascii="Times New Roman" w:hAnsi="Times New Roman" w:eastAsia="宋体"/>
          <w:color w:val="auto"/>
          <w:highlight w:val="none"/>
          <w:lang w:eastAsia="zh-CN"/>
        </w:rPr>
        <w:t>届全国人民代表大会常务委员会第</w:t>
      </w:r>
      <w:r>
        <w:rPr>
          <w:rFonts w:hint="eastAsia" w:ascii="Times New Roman" w:hAnsi="Times New Roman" w:eastAsia="宋体"/>
          <w:color w:val="auto"/>
          <w:highlight w:val="none"/>
          <w:lang w:val="en-US" w:eastAsia="zh-CN"/>
        </w:rPr>
        <w:t>十七次</w:t>
      </w:r>
      <w:r>
        <w:rPr>
          <w:rFonts w:hint="eastAsia" w:ascii="Times New Roman" w:hAnsi="Times New Roman" w:eastAsia="宋体"/>
          <w:color w:val="auto"/>
          <w:highlight w:val="none"/>
          <w:lang w:eastAsia="zh-CN"/>
        </w:rPr>
        <w:t>次会议），20</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年</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日实施；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）《中华人民共和国环境噪声污染防治法》（第十三届全国人民代表大会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常务委员会第七次会议），2018年12月29日；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）《中华人民共和国水法》（第十二届全国人民代表大会常务委员会第二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十一次会议），2016年7月2日修订施行；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8</w:t>
      </w:r>
      <w:r>
        <w:rPr>
          <w:rFonts w:hint="eastAsia" w:ascii="Times New Roman" w:hAnsi="Times New Roman" w:eastAsia="宋体"/>
          <w:color w:val="auto"/>
          <w:highlight w:val="none"/>
          <w:lang w:eastAsia="zh-CN"/>
        </w:rPr>
        <w:t>）《中华人民共和国土地管理法》（</w:t>
      </w:r>
      <w:r>
        <w:rPr>
          <w:rFonts w:hint="eastAsia" w:eastAsia="宋体"/>
          <w:color w:val="auto"/>
          <w:highlight w:val="none"/>
          <w:lang w:val="en-US" w:eastAsia="zh-CN"/>
        </w:rPr>
        <w:t>2019年修订</w:t>
      </w:r>
      <w:r>
        <w:rPr>
          <w:rFonts w:hint="eastAsia" w:ascii="Times New Roman" w:hAnsi="Times New Roman" w:eastAsia="宋体"/>
          <w:color w:val="auto"/>
          <w:highlight w:val="none"/>
          <w:lang w:eastAsia="zh-CN"/>
        </w:rPr>
        <w:t>），20</w:t>
      </w:r>
      <w:r>
        <w:rPr>
          <w:rFonts w:hint="eastAsia" w:eastAsia="宋体"/>
          <w:color w:val="auto"/>
          <w:highlight w:val="none"/>
          <w:lang w:val="en-US" w:eastAsia="zh-CN"/>
        </w:rPr>
        <w:t>20</w:t>
      </w:r>
      <w:r>
        <w:rPr>
          <w:rFonts w:hint="eastAsia" w:ascii="Times New Roman" w:hAnsi="Times New Roman" w:eastAsia="宋体"/>
          <w:color w:val="auto"/>
          <w:highlight w:val="none"/>
          <w:lang w:eastAsia="zh-CN"/>
        </w:rPr>
        <w:t>年</w:t>
      </w:r>
      <w:r>
        <w:rPr>
          <w:rFonts w:hint="eastAsia" w:eastAsia="宋体"/>
          <w:color w:val="auto"/>
          <w:highlight w:val="none"/>
          <w:lang w:val="en-US" w:eastAsia="zh-CN"/>
        </w:rPr>
        <w:t>1</w:t>
      </w:r>
      <w:r>
        <w:rPr>
          <w:rFonts w:hint="eastAsia" w:ascii="Times New Roman" w:hAnsi="Times New Roman" w:eastAsia="宋体"/>
          <w:color w:val="auto"/>
          <w:highlight w:val="none"/>
          <w:lang w:eastAsia="zh-CN"/>
        </w:rPr>
        <w:t>月</w:t>
      </w:r>
      <w:r>
        <w:rPr>
          <w:rFonts w:hint="eastAsia" w:eastAsia="宋体"/>
          <w:color w:val="auto"/>
          <w:highlight w:val="none"/>
          <w:lang w:val="en-US" w:eastAsia="zh-CN"/>
        </w:rPr>
        <w:t>1</w:t>
      </w:r>
      <w:r>
        <w:rPr>
          <w:rFonts w:hint="eastAsia" w:ascii="Times New Roman" w:hAnsi="Times New Roman" w:eastAsia="宋体"/>
          <w:color w:val="auto"/>
          <w:highlight w:val="none"/>
          <w:lang w:eastAsia="zh-CN"/>
        </w:rPr>
        <w:t>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）《中华人民共和国水土保持法》 （中华人民共和国主席令[2011]第39</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号），2011年3月1日修订施行；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10</w:t>
      </w:r>
      <w:r>
        <w:rPr>
          <w:rFonts w:hint="eastAsia" w:ascii="Times New Roman" w:hAnsi="Times New Roman" w:eastAsia="宋体"/>
          <w:color w:val="auto"/>
          <w:highlight w:val="none"/>
          <w:lang w:eastAsia="zh-CN"/>
        </w:rPr>
        <w:t>）《建设项目环境保护管理条例》（国务院令[2017]第 682 号），2017年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10月1日起施行；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11</w:t>
      </w:r>
      <w:r>
        <w:rPr>
          <w:rFonts w:hint="eastAsia" w:ascii="Times New Roman" w:hAnsi="Times New Roman" w:eastAsia="宋体"/>
          <w:color w:val="auto"/>
          <w:highlight w:val="none"/>
          <w:lang w:eastAsia="zh-CN"/>
        </w:rPr>
        <w:t>）《建设项目环境影响评价分类管理名录》（</w:t>
      </w:r>
      <w:r>
        <w:rPr>
          <w:rFonts w:hint="eastAsia" w:eastAsia="宋体"/>
          <w:color w:val="auto"/>
          <w:highlight w:val="none"/>
          <w:lang w:val="en-US" w:eastAsia="zh-CN"/>
        </w:rPr>
        <w:t>2021年版</w:t>
      </w:r>
      <w:r>
        <w:rPr>
          <w:rFonts w:hint="eastAsia" w:ascii="Times New Roman" w:hAnsi="Times New Roman"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12</w:t>
      </w:r>
      <w:r>
        <w:rPr>
          <w:rFonts w:hint="eastAsia" w:ascii="Times New Roman" w:hAnsi="Times New Roman" w:eastAsia="宋体"/>
          <w:color w:val="auto"/>
          <w:highlight w:val="none"/>
          <w:lang w:eastAsia="zh-CN"/>
        </w:rPr>
        <w:t>）《产业结构调整指导目录（201</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年本）》国家发展改革委第</w:t>
      </w:r>
      <w:r>
        <w:rPr>
          <w:rFonts w:hint="eastAsia" w:ascii="Times New Roman" w:hAnsi="Times New Roman" w:eastAsia="宋体"/>
          <w:color w:val="auto"/>
          <w:highlight w:val="none"/>
          <w:lang w:val="en-US" w:eastAsia="zh-CN"/>
        </w:rPr>
        <w:t>29</w:t>
      </w:r>
      <w:r>
        <w:rPr>
          <w:rFonts w:hint="eastAsia" w:ascii="Times New Roman" w:hAnsi="Times New Roman" w:eastAsia="宋体"/>
          <w:color w:val="auto"/>
          <w:highlight w:val="none"/>
          <w:lang w:eastAsia="zh-CN"/>
        </w:rPr>
        <w:t>号令，20</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年</w:t>
      </w:r>
      <w:r>
        <w:rPr>
          <w:rFonts w:hint="eastAsia" w:ascii="Times New Roman" w:hAnsi="Times New Roman" w:eastAsia="宋体"/>
          <w:color w:val="auto"/>
          <w:highlight w:val="none"/>
          <w:lang w:val="en-US" w:eastAsia="zh-CN"/>
        </w:rPr>
        <w:t>10</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30</w:t>
      </w:r>
      <w:r>
        <w:rPr>
          <w:rFonts w:hint="eastAsia" w:ascii="Times New Roman" w:hAnsi="Times New Roman" w:eastAsia="宋体"/>
          <w:color w:val="auto"/>
          <w:highlight w:val="none"/>
          <w:lang w:eastAsia="zh-CN"/>
        </w:rPr>
        <w:t>日公布；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eastAsia="zh-CN"/>
        </w:rPr>
        <w:sectPr>
          <w:pgSz w:w="11910" w:h="16840"/>
          <w:pgMar w:top="1080" w:right="1560" w:bottom="1320" w:left="1680" w:header="873" w:footer="1131"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lang w:eastAsia="zh-CN"/>
        </w:rPr>
        <w:t>）《国务院关于印发打赢蓝天保卫战三年行动计划的通知》（国发【2018】</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22号）；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14</w:t>
      </w:r>
      <w:r>
        <w:rPr>
          <w:rFonts w:hint="eastAsia" w:ascii="Times New Roman" w:hAnsi="Times New Roman" w:eastAsia="宋体"/>
          <w:color w:val="auto"/>
          <w:highlight w:val="none"/>
          <w:lang w:eastAsia="zh-CN"/>
        </w:rPr>
        <w:t>）《中华人民共和国防沙治沙法》（第十三届全国人民代表大会常务委员会第六次会议）2018年10月26日修正；</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eastAsia="zh-CN"/>
        </w:rPr>
        <w:fldChar w:fldCharType="begin"/>
      </w:r>
      <w:r>
        <w:rPr>
          <w:rFonts w:hint="eastAsia" w:ascii="Times New Roman" w:hAnsi="Times New Roman" w:eastAsia="宋体"/>
          <w:color w:val="auto"/>
          <w:highlight w:val="none"/>
          <w:lang w:eastAsia="zh-CN"/>
        </w:rPr>
        <w:instrText xml:space="preserve"> HYPERLINK "https://baike.baidu.com/item/%E4%B8%AD%E5%8D%8E%E4%BA%BA%E6%B0%91%E5%85%B1%E5%92%8C%E5%9B%BD%E5%9B%BD%E5%8A%A1%E9%99%A2%E4%BB%A4/1614689" \h </w:instrText>
      </w:r>
      <w:r>
        <w:rPr>
          <w:rFonts w:hint="eastAsia" w:ascii="Times New Roman" w:hAnsi="Times New Roman" w:eastAsia="宋体"/>
          <w:color w:val="auto"/>
          <w:highlight w:val="none"/>
          <w:lang w:eastAsia="zh-CN"/>
        </w:rPr>
        <w:fldChar w:fldCharType="separate"/>
      </w:r>
      <w:r>
        <w:rPr>
          <w:rFonts w:hint="eastAsia" w:ascii="Times New Roman" w:hAnsi="Times New Roman" w:eastAsia="宋体"/>
          <w:color w:val="auto"/>
          <w:highlight w:val="none"/>
          <w:lang w:eastAsia="zh-CN"/>
        </w:rPr>
        <w:t>《中华人民共和国野生植物保护实施条例》（中华人民共和国国务院令</w:t>
      </w:r>
      <w:r>
        <w:rPr>
          <w:rFonts w:hint="eastAsia" w:ascii="Times New Roman" w:hAnsi="Times New Roman" w:eastAsia="宋体"/>
          <w:color w:val="auto"/>
          <w:highlight w:val="none"/>
          <w:lang w:eastAsia="zh-CN"/>
        </w:rPr>
        <w:fldChar w:fldCharType="end"/>
      </w:r>
      <w:r>
        <w:rPr>
          <w:rFonts w:hint="eastAsia" w:ascii="Times New Roman" w:hAnsi="Times New Roman" w:eastAsia="宋体"/>
          <w:color w:val="auto"/>
          <w:highlight w:val="none"/>
          <w:lang w:eastAsia="zh-CN"/>
        </w:rPr>
        <w:t>第204号）1997年1月1日起施行；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16</w:t>
      </w:r>
      <w:r>
        <w:rPr>
          <w:rFonts w:hint="eastAsia" w:ascii="Times New Roman" w:hAnsi="Times New Roman" w:eastAsia="宋体"/>
          <w:color w:val="auto"/>
          <w:highlight w:val="none"/>
          <w:lang w:eastAsia="zh-CN"/>
        </w:rPr>
        <w:t>）《中华人民共和国陆生野生动物保护实施条例》（国务院发布）2016 年2月6日修订施行；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17</w:t>
      </w:r>
      <w:r>
        <w:rPr>
          <w:rFonts w:hint="eastAsia" w:ascii="Times New Roman" w:hAnsi="Times New Roman" w:eastAsia="宋体"/>
          <w:color w:val="auto"/>
          <w:highlight w:val="none"/>
          <w:lang w:eastAsia="zh-CN"/>
        </w:rPr>
        <w:t>）《中华人民共和国野生动物保护法》（第十三届全国人民代表大会常务委员会第六次会议）2018年10月26日第三次修订；</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18</w:t>
      </w:r>
      <w:r>
        <w:rPr>
          <w:rFonts w:hint="eastAsia" w:ascii="Times New Roman" w:hAnsi="Times New Roman" w:eastAsia="宋体"/>
          <w:color w:val="auto"/>
          <w:highlight w:val="none"/>
          <w:lang w:eastAsia="zh-CN"/>
        </w:rPr>
        <w:t>）《中华人民共和国矿产资源法》（第十一届全国人民代表大会常务委员会第十次会议）2009年8月27日；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19</w:t>
      </w:r>
      <w:r>
        <w:rPr>
          <w:rFonts w:hint="eastAsia" w:ascii="Times New Roman" w:hAnsi="Times New Roman" w:eastAsia="宋体"/>
          <w:color w:val="auto"/>
          <w:highlight w:val="none"/>
          <w:lang w:eastAsia="zh-CN"/>
        </w:rPr>
        <w:t>）《国务院关于印发土壤污染防治行动计划的通知》（国发[2016]31 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2016年5月28日发布；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）《关于以改善环境质量为核心加强环境影响评价管理的通知》环境保护 部环环评[2016]150号，2016年10月27日印发；</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21</w:t>
      </w:r>
      <w:r>
        <w:rPr>
          <w:rFonts w:hint="eastAsia" w:ascii="Times New Roman" w:hAnsi="Times New Roman" w:eastAsia="宋体"/>
          <w:color w:val="auto"/>
          <w:highlight w:val="none"/>
          <w:lang w:eastAsia="zh-CN"/>
        </w:rPr>
        <w:t>）《土地复垦条例》，国务院第592号令，2011年3月5日施行；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22</w:t>
      </w:r>
      <w:r>
        <w:rPr>
          <w:rFonts w:hint="eastAsia" w:ascii="Times New Roman" w:hAnsi="Times New Roman" w:eastAsia="宋体"/>
          <w:color w:val="auto"/>
          <w:highlight w:val="none"/>
          <w:lang w:eastAsia="zh-CN"/>
        </w:rPr>
        <w:t>）《土地复垦条例实施办法》（国土资源部第4次部务会议审议通过）2013年3月1日起施行；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）《关于进一步加强环境影响评价管理防范环境风险的通知》环发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[2012]77号，2012年7月3号；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24</w:t>
      </w:r>
      <w:r>
        <w:rPr>
          <w:rFonts w:hint="eastAsia" w:ascii="Times New Roman" w:hAnsi="Times New Roman" w:eastAsia="宋体"/>
          <w:color w:val="auto"/>
          <w:highlight w:val="none"/>
          <w:lang w:eastAsia="zh-CN"/>
        </w:rPr>
        <w:t>）《关于切实加强风险防范严格环境影响评价管理的通知》（环发(2012)98号文），2012年8月8号印发；</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25</w:t>
      </w:r>
      <w:r>
        <w:rPr>
          <w:rFonts w:hint="eastAsia" w:ascii="Times New Roman" w:hAnsi="Times New Roman" w:eastAsia="宋体"/>
          <w:color w:val="auto"/>
          <w:highlight w:val="none"/>
          <w:lang w:eastAsia="zh-CN"/>
        </w:rPr>
        <w:t>）《金属非金属矿山安全规程》（GB16423-2006）；</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26</w:t>
      </w:r>
      <w:r>
        <w:rPr>
          <w:rFonts w:hint="eastAsia" w:ascii="Times New Roman" w:hAnsi="Times New Roman" w:eastAsia="宋体"/>
          <w:color w:val="auto"/>
          <w:highlight w:val="none"/>
          <w:lang w:eastAsia="zh-CN"/>
        </w:rPr>
        <w:t>）《金属非金属矿山排土场安全生产规则》AQ2005-2005；</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27</w:t>
      </w:r>
      <w:r>
        <w:rPr>
          <w:rFonts w:hint="eastAsia" w:ascii="Times New Roman" w:hAnsi="Times New Roman" w:eastAsia="宋体"/>
          <w:color w:val="auto"/>
          <w:highlight w:val="none"/>
          <w:lang w:eastAsia="zh-CN"/>
        </w:rPr>
        <w:t>）《中华人民共和国防洪法》（2016 年7 月修订）；</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eastAsia="zh-CN"/>
        </w:rPr>
      </w:pPr>
      <w:bookmarkStart w:id="21" w:name="_Toc11954"/>
      <w:r>
        <w:rPr>
          <w:rFonts w:hint="eastAsia" w:ascii="Times New Roman" w:hAnsi="Times New Roman" w:eastAsia="宋体"/>
          <w:b/>
          <w:bCs w:val="0"/>
          <w:color w:val="auto"/>
          <w:sz w:val="30"/>
          <w:szCs w:val="30"/>
          <w:highlight w:val="none"/>
        </w:rPr>
        <w:t xml:space="preserve">2.1.2 </w:t>
      </w:r>
      <w:r>
        <w:rPr>
          <w:rFonts w:hint="eastAsia" w:ascii="Times New Roman" w:hAnsi="Times New Roman" w:eastAsia="宋体"/>
          <w:b/>
          <w:bCs w:val="0"/>
          <w:color w:val="auto"/>
          <w:sz w:val="30"/>
          <w:szCs w:val="30"/>
          <w:highlight w:val="none"/>
          <w:lang w:val="en-US" w:eastAsia="zh-CN"/>
        </w:rPr>
        <w:t>地方有关法规及规划</w:t>
      </w:r>
      <w:bookmarkEnd w:id="21"/>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）《内蒙古自治区环境保护条例》（2012年3月31日修订施行）；</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）《内蒙古自治区建设项目环境保护管理办法实施细则》（2012年8月 1日施行）；</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）国务院《关于印发“十三五”生态环境保护规划的通知》（国发〔2016〕65 号）（2016 年11 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）国务院《关于印发水污染防治行动计划的通知》（国发〔2015〕17 号）（2015 年4 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）《内蒙古自治区生态环境保护“十三五”规划》内政办发〔2017〕95号；</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6</w:t>
      </w:r>
      <w:r>
        <w:rPr>
          <w:rFonts w:hint="eastAsia" w:ascii="Times New Roman" w:hAnsi="Times New Roman" w:eastAsia="宋体"/>
          <w:color w:val="auto"/>
          <w:highlight w:val="none"/>
          <w:lang w:eastAsia="zh-CN"/>
        </w:rPr>
        <w:t>）《内蒙古自治区国民经济和社会发展第十三个五年规划纲要》，内蒙古自治区人民政府，2016.3施行；</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7</w:t>
      </w:r>
      <w:r>
        <w:rPr>
          <w:rFonts w:hint="eastAsia" w:ascii="Times New Roman" w:hAnsi="Times New Roman" w:eastAsia="宋体"/>
          <w:color w:val="auto"/>
          <w:highlight w:val="none"/>
          <w:lang w:eastAsia="zh-CN"/>
        </w:rPr>
        <w:t>）《内蒙古自治区环境保护厅关于进一步加强规划及建设项目环境影响评价审批备案管理工作的通知》，内环办[2012]160号；</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eastAsia="宋体"/>
          <w:color w:val="auto"/>
          <w:highlight w:val="none"/>
          <w:lang w:val="en-US" w:eastAsia="zh-CN"/>
        </w:rPr>
        <w:t>（8</w:t>
      </w:r>
      <w:r>
        <w:rPr>
          <w:rFonts w:hint="eastAsia" w:ascii="Times New Roman" w:hAnsi="Times New Roman" w:eastAsia="宋体"/>
          <w:color w:val="auto"/>
          <w:highlight w:val="none"/>
          <w:lang w:eastAsia="zh-CN"/>
        </w:rPr>
        <w:t>）《内蒙古自治区主体功能区规划》，内政发〔2012〕85 号；</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9</w:t>
      </w:r>
      <w:r>
        <w:rPr>
          <w:rFonts w:hint="eastAsia" w:ascii="Times New Roman" w:hAnsi="Times New Roman" w:eastAsia="宋体"/>
          <w:color w:val="auto"/>
          <w:highlight w:val="none"/>
          <w:lang w:eastAsia="zh-CN"/>
        </w:rPr>
        <w:t>）内蒙古自治区人民政府转发《国务院关于印发全国生态环境保护纲要》 的通知，内政发[2001]2 号，2001年1月4日；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10</w:t>
      </w:r>
      <w:r>
        <w:rPr>
          <w:rFonts w:hint="eastAsia" w:ascii="Times New Roman" w:hAnsi="Times New Roman" w:eastAsia="宋体"/>
          <w:color w:val="auto"/>
          <w:highlight w:val="none"/>
          <w:lang w:eastAsia="zh-CN"/>
        </w:rPr>
        <w:t>）《内蒙古自治区大气污染防治条例》，2018年12月6日；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11</w:t>
      </w:r>
      <w:r>
        <w:rPr>
          <w:rFonts w:hint="eastAsia" w:ascii="Times New Roman" w:hAnsi="Times New Roman" w:eastAsia="宋体"/>
          <w:color w:val="auto"/>
          <w:highlight w:val="none"/>
          <w:lang w:eastAsia="zh-CN"/>
        </w:rPr>
        <w:t>）内蒙古自治区人民政府《水土流失重点预防区和重点治理区的通告》（内 政发[2016]44 号），2016年4月19日；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12</w:t>
      </w:r>
      <w:r>
        <w:rPr>
          <w:rFonts w:hint="eastAsia" w:ascii="Times New Roman" w:hAnsi="Times New Roman" w:eastAsia="宋体"/>
          <w:color w:val="auto"/>
          <w:highlight w:val="none"/>
          <w:lang w:eastAsia="zh-CN"/>
        </w:rPr>
        <w:t>）内蒙古自治区人民政府《内蒙古自治区矿产资源总体规划》，2017年11月；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13</w:t>
      </w:r>
      <w:r>
        <w:rPr>
          <w:rFonts w:hint="eastAsia" w:ascii="Times New Roman" w:hAnsi="Times New Roman" w:eastAsia="宋体"/>
          <w:color w:val="auto"/>
          <w:highlight w:val="none"/>
          <w:lang w:eastAsia="zh-CN"/>
        </w:rPr>
        <w:t>）内蒙古自治区国土资源厅《内蒙古自治区矿山地质环境治理保证金管理办法》，2008 年1月1日；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14</w:t>
      </w:r>
      <w:r>
        <w:rPr>
          <w:rFonts w:hint="eastAsia" w:ascii="Times New Roman" w:hAnsi="Times New Roman" w:eastAsia="宋体"/>
          <w:color w:val="auto"/>
          <w:highlight w:val="none"/>
          <w:lang w:eastAsia="zh-CN"/>
        </w:rPr>
        <w:t>）内蒙古自治区人民政府《自治区国家重点生态功能区产业准入负面清单（试行）的通知》（内政办发[2018]11 号），2018年3月12日；</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15</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lang w:eastAsia="zh-CN"/>
        </w:rPr>
        <w:t>《锡林郭勒盟国民经济和社会发展第十三个五年规划纲要》，锡林郭勒盟人民政府，2016年4月。</w:t>
      </w:r>
    </w:p>
    <w:p>
      <w:pPr>
        <w:pStyle w:val="5"/>
        <w:keepNext/>
        <w:keepLines/>
        <w:pageBreakBefore w:val="0"/>
        <w:widowControl w:val="0"/>
        <w:kinsoku/>
        <w:wordWrap/>
        <w:overflowPunct/>
        <w:topLinePunct w:val="0"/>
        <w:autoSpaceDE/>
        <w:autoSpaceDN/>
        <w:bidi w:val="0"/>
        <w:adjustRightInd/>
        <w:snapToGrid/>
        <w:spacing w:before="157" w:beforeLines="50" w:after="10" w:line="360" w:lineRule="auto"/>
        <w:ind w:left="0" w:leftChars="0" w:firstLine="0" w:firstLineChars="0"/>
        <w:textAlignment w:val="auto"/>
        <w:rPr>
          <w:rFonts w:ascii="Times New Roman" w:hAnsi="Times New Roman" w:eastAsia="宋体"/>
          <w:b/>
          <w:bCs w:val="0"/>
          <w:color w:val="auto"/>
          <w:sz w:val="30"/>
          <w:szCs w:val="30"/>
          <w:highlight w:val="none"/>
        </w:rPr>
      </w:pPr>
      <w:bookmarkStart w:id="22" w:name="_Toc592"/>
      <w:r>
        <w:rPr>
          <w:rFonts w:hint="eastAsia" w:ascii="Times New Roman" w:hAnsi="Times New Roman" w:eastAsia="宋体"/>
          <w:b/>
          <w:bCs w:val="0"/>
          <w:color w:val="auto"/>
          <w:sz w:val="30"/>
          <w:szCs w:val="30"/>
          <w:highlight w:val="none"/>
        </w:rPr>
        <w:t>2.1.3 环境保护技术导则及规范</w:t>
      </w:r>
      <w:bookmarkEnd w:id="22"/>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（1）《环境影响评价技术导则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总纲》（HJ2.1-2016）；</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大气环境》（HJ2.2-2018）；</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地表水环境》（HJ2.3-2018）；</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声环境》（HJ2.4-2009）；</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地下水环境》（HJ610-2016）；</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生态影响》（HJ19-2011）；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（7）《建设项目环境风险评价技术导则》（HJ169-2018）；</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（8）《环境影响评价技术导则土壤环境（试行）》（HJ964-2018）</w:t>
      </w:r>
      <w:r>
        <w:rPr>
          <w:rFonts w:hint="eastAsia" w:ascii="Times New Roman" w:hAnsi="Times New Roman" w:eastAsia="宋体"/>
          <w:color w:val="auto"/>
          <w:highlight w:val="none"/>
          <w:lang w:eastAsia="zh-CN"/>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（9）《危险废物鉴别技术规范》（HJ/T298－2007）；</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（10）《矿山生态环境保护与恢复治理技术规范》（试行）（HJ651-2013）；</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（11）《矿山生态环境保护与恢复治理方案（规划）编制规范》（试行）</w:t>
      </w:r>
      <w:r>
        <w:rPr>
          <w:rFonts w:hint="eastAsia" w:ascii="Times New Roman" w:hAnsi="Times New Roman" w:eastAsia="宋体"/>
          <w:color w:val="auto"/>
          <w:highlight w:val="none"/>
          <w:lang w:eastAsia="zh-CN"/>
        </w:rPr>
        <w:t>；</w:t>
      </w:r>
    </w:p>
    <w:p>
      <w:pPr>
        <w:ind w:firstLine="480"/>
        <w:rPr>
          <w:rFonts w:ascii="Times New Roman" w:hAnsi="Times New Roman" w:eastAsia="宋体"/>
          <w:color w:val="auto"/>
          <w:szCs w:val="24"/>
          <w:highlight w:val="none"/>
        </w:rPr>
      </w:pPr>
      <w:r>
        <w:rPr>
          <w:rFonts w:hint="eastAsia" w:ascii="Times New Roman" w:hAnsi="Times New Roman" w:eastAsia="宋体"/>
          <w:color w:val="auto"/>
          <w:highlight w:val="none"/>
        </w:rPr>
        <w:t>（12）</w:t>
      </w:r>
      <w:r>
        <w:rPr>
          <w:rFonts w:ascii="Times New Roman" w:hAnsi="Times New Roman" w:eastAsia="宋体"/>
          <w:color w:val="auto"/>
          <w:szCs w:val="24"/>
          <w:highlight w:val="none"/>
        </w:rPr>
        <w:t>《危险化学品重大危险源辨识》（GB18218-2018）；</w:t>
      </w:r>
    </w:p>
    <w:p>
      <w:pPr>
        <w:ind w:firstLine="480"/>
        <w:rPr>
          <w:rFonts w:hint="eastAsia" w:ascii="Times New Roman" w:hAnsi="Times New Roman" w:eastAsia="宋体"/>
          <w:color w:val="auto"/>
          <w:szCs w:val="24"/>
          <w:highlight w:val="none"/>
          <w:lang w:eastAsia="zh-CN"/>
        </w:rPr>
      </w:pPr>
      <w:r>
        <w:rPr>
          <w:rFonts w:hint="eastAsia" w:ascii="Times New Roman" w:hAnsi="Times New Roman" w:eastAsia="宋体"/>
          <w:color w:val="auto"/>
          <w:highlight w:val="none"/>
        </w:rPr>
        <w:t>（13）</w:t>
      </w:r>
      <w:r>
        <w:rPr>
          <w:rFonts w:ascii="Times New Roman" w:hAnsi="Times New Roman" w:eastAsia="宋体"/>
          <w:color w:val="auto"/>
          <w:szCs w:val="24"/>
          <w:highlight w:val="none"/>
        </w:rPr>
        <w:t>《固体废物鉴别标准 通则》 (GB 34330—2017)</w:t>
      </w:r>
      <w:r>
        <w:rPr>
          <w:rFonts w:hint="eastAsia" w:ascii="Times New Roman" w:hAnsi="Times New Roman" w:eastAsia="宋体"/>
          <w:color w:val="auto"/>
          <w:szCs w:val="24"/>
          <w:highlight w:val="none"/>
          <w:lang w:eastAsia="zh-CN"/>
        </w:rPr>
        <w:t>；</w:t>
      </w:r>
    </w:p>
    <w:p>
      <w:pPr>
        <w:ind w:firstLine="480"/>
        <w:rPr>
          <w:rFonts w:ascii="Times New Roman" w:hAnsi="Times New Roman" w:eastAsia="宋体"/>
          <w:color w:val="auto"/>
          <w:highlight w:val="none"/>
        </w:rPr>
      </w:pPr>
      <w:r>
        <w:rPr>
          <w:rFonts w:hint="eastAsia" w:ascii="Times New Roman" w:hAnsi="Times New Roman" w:eastAsia="宋体"/>
          <w:color w:val="auto"/>
          <w:szCs w:val="24"/>
          <w:highlight w:val="none"/>
          <w:lang w:eastAsia="zh-CN"/>
        </w:rPr>
        <w:t>（</w:t>
      </w:r>
      <w:r>
        <w:rPr>
          <w:rFonts w:hint="eastAsia" w:ascii="Times New Roman" w:hAnsi="Times New Roman" w:eastAsia="宋体"/>
          <w:color w:val="auto"/>
          <w:szCs w:val="24"/>
          <w:highlight w:val="none"/>
          <w:lang w:val="en-US" w:eastAsia="zh-CN"/>
        </w:rPr>
        <w:t>14</w:t>
      </w:r>
      <w:r>
        <w:rPr>
          <w:rFonts w:hint="eastAsia" w:ascii="Times New Roman" w:hAnsi="Times New Roman" w:eastAsia="宋体"/>
          <w:color w:val="auto"/>
          <w:szCs w:val="24"/>
          <w:highlight w:val="none"/>
          <w:lang w:eastAsia="zh-CN"/>
        </w:rPr>
        <w:t>）关于发布《一般工业固体废物贮存</w:t>
      </w:r>
      <w:r>
        <w:rPr>
          <w:rFonts w:hint="eastAsia" w:eastAsia="宋体"/>
          <w:color w:val="auto"/>
          <w:szCs w:val="24"/>
          <w:highlight w:val="none"/>
          <w:lang w:val="en-US" w:eastAsia="zh-CN"/>
        </w:rPr>
        <w:t>和填埋</w:t>
      </w:r>
      <w:r>
        <w:rPr>
          <w:rFonts w:hint="eastAsia" w:ascii="Times New Roman" w:hAnsi="Times New Roman" w:eastAsia="宋体"/>
          <w:color w:val="auto"/>
          <w:szCs w:val="24"/>
          <w:highlight w:val="none"/>
          <w:lang w:eastAsia="zh-CN"/>
        </w:rPr>
        <w:t>污染控制标准》（GB18599-20</w:t>
      </w:r>
      <w:r>
        <w:rPr>
          <w:rFonts w:hint="eastAsia" w:eastAsia="宋体"/>
          <w:color w:val="auto"/>
          <w:szCs w:val="24"/>
          <w:highlight w:val="none"/>
          <w:lang w:val="en-US" w:eastAsia="zh-CN"/>
        </w:rPr>
        <w:t>20</w:t>
      </w:r>
      <w:r>
        <w:rPr>
          <w:rFonts w:hint="eastAsia" w:ascii="Times New Roman" w:hAnsi="Times New Roman" w:eastAsia="宋体"/>
          <w:color w:val="auto"/>
          <w:szCs w:val="24"/>
          <w:highlight w:val="none"/>
          <w:lang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23" w:name="_Toc17179"/>
      <w:r>
        <w:rPr>
          <w:rFonts w:hint="eastAsia" w:ascii="Times New Roman" w:hAnsi="Times New Roman" w:eastAsia="宋体"/>
          <w:b/>
          <w:bCs w:val="0"/>
          <w:color w:val="auto"/>
          <w:sz w:val="30"/>
          <w:highlight w:val="none"/>
        </w:rPr>
        <w:t>2.1.4 项目相关文件</w:t>
      </w:r>
      <w:bookmarkEnd w:id="23"/>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（1）</w:t>
      </w:r>
      <w:r>
        <w:rPr>
          <w:rFonts w:hint="eastAsia" w:ascii="Times New Roman" w:hAnsi="Times New Roman" w:eastAsia="宋体" w:cstheme="minorEastAsia"/>
          <w:color w:val="auto"/>
          <w:highlight w:val="none"/>
        </w:rPr>
        <w:t>《苏尼特右旗巴润宝力格采砂场</w:t>
      </w:r>
      <w:r>
        <w:rPr>
          <w:rFonts w:hint="eastAsia" w:ascii="Times New Roman" w:hAnsi="Times New Roman" w:eastAsia="宋体" w:cstheme="minorEastAsia"/>
          <w:color w:val="auto"/>
          <w:highlight w:val="none"/>
          <w:lang w:val="en-US" w:eastAsia="zh-CN"/>
        </w:rPr>
        <w:t>扩建</w:t>
      </w:r>
      <w:r>
        <w:rPr>
          <w:rFonts w:hint="eastAsia" w:ascii="Times New Roman" w:hAnsi="Times New Roman" w:eastAsia="宋体" w:cstheme="minorEastAsia"/>
          <w:color w:val="auto"/>
          <w:highlight w:val="none"/>
        </w:rPr>
        <w:t>项目环境影响评价报告</w:t>
      </w:r>
      <w:r>
        <w:rPr>
          <w:rFonts w:hint="eastAsia" w:ascii="Times New Roman" w:hAnsi="Times New Roman" w:eastAsia="宋体" w:cstheme="minorEastAsia"/>
          <w:color w:val="auto"/>
          <w:highlight w:val="none"/>
          <w:lang w:eastAsia="zh-CN"/>
        </w:rPr>
        <w:t>表</w:t>
      </w:r>
      <w:r>
        <w:rPr>
          <w:rFonts w:hint="eastAsia" w:ascii="Times New Roman" w:hAnsi="Times New Roman" w:eastAsia="宋体" w:cstheme="minorEastAsia"/>
          <w:color w:val="auto"/>
          <w:highlight w:val="none"/>
        </w:rPr>
        <w:t>委托书》，多伦县长仙敖包萤石矿，20</w:t>
      </w:r>
      <w:r>
        <w:rPr>
          <w:rFonts w:hint="eastAsia" w:eastAsia="宋体" w:cstheme="minorEastAsia"/>
          <w:color w:val="auto"/>
          <w:highlight w:val="none"/>
          <w:lang w:val="en-US" w:eastAsia="zh-CN"/>
        </w:rPr>
        <w:t>21</w:t>
      </w:r>
      <w:r>
        <w:rPr>
          <w:rFonts w:hint="eastAsia" w:ascii="Times New Roman" w:hAnsi="Times New Roman" w:eastAsia="宋体" w:cstheme="minorEastAsia"/>
          <w:color w:val="auto"/>
          <w:highlight w:val="none"/>
        </w:rPr>
        <w:t>年</w:t>
      </w:r>
      <w:r>
        <w:rPr>
          <w:rFonts w:hint="eastAsia" w:eastAsia="宋体" w:cstheme="minorEastAsia"/>
          <w:color w:val="auto"/>
          <w:highlight w:val="none"/>
          <w:lang w:val="en-US" w:eastAsia="zh-CN"/>
        </w:rPr>
        <w:t>2</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（2）</w:t>
      </w:r>
      <w:r>
        <w:rPr>
          <w:rFonts w:hint="eastAsia" w:ascii="Times New Roman" w:hAnsi="Times New Roman" w:eastAsia="宋体" w:cstheme="minorEastAsia"/>
          <w:color w:val="auto"/>
          <w:highlight w:val="none"/>
        </w:rPr>
        <w:t>《苏尼特右旗巴润宝力格采砂场</w:t>
      </w:r>
      <w:r>
        <w:rPr>
          <w:rFonts w:hint="eastAsia" w:eastAsia="宋体" w:cstheme="minorEastAsia"/>
          <w:color w:val="auto"/>
          <w:highlight w:val="none"/>
          <w:lang w:val="en-US" w:eastAsia="zh-CN"/>
        </w:rPr>
        <w:t>资源储量核实报告</w:t>
      </w:r>
      <w:r>
        <w:rPr>
          <w:rFonts w:hint="eastAsia" w:ascii="Times New Roman" w:hAnsi="Times New Roman" w:eastAsia="宋体" w:cstheme="minorEastAsia"/>
          <w:color w:val="auto"/>
          <w:highlight w:val="none"/>
        </w:rPr>
        <w:t>》</w:t>
      </w:r>
      <w:r>
        <w:rPr>
          <w:rFonts w:hint="eastAsia" w:eastAsia="宋体" w:cstheme="minorEastAsia"/>
          <w:color w:val="auto"/>
          <w:highlight w:val="none"/>
          <w:lang w:eastAsia="zh-CN"/>
        </w:rPr>
        <w:t>，</w:t>
      </w:r>
      <w:r>
        <w:rPr>
          <w:rFonts w:hint="eastAsia" w:eastAsia="宋体" w:cstheme="minorEastAsia"/>
          <w:color w:val="auto"/>
          <w:highlight w:val="none"/>
          <w:lang w:val="en-US" w:eastAsia="zh-CN"/>
        </w:rPr>
        <w:t>锡林郭勒盟中晟达地质环境技术咨询有限公司</w:t>
      </w:r>
      <w:r>
        <w:rPr>
          <w:rFonts w:hint="eastAsia" w:ascii="Times New Roman" w:hAnsi="Times New Roman" w:eastAsia="宋体" w:cstheme="minorEastAsia"/>
          <w:color w:val="auto"/>
          <w:highlight w:val="none"/>
        </w:rPr>
        <w:t>，20</w:t>
      </w:r>
      <w:r>
        <w:rPr>
          <w:rFonts w:hint="eastAsia" w:eastAsia="宋体" w:cstheme="minorEastAsia"/>
          <w:color w:val="auto"/>
          <w:highlight w:val="none"/>
          <w:lang w:val="en-US" w:eastAsia="zh-CN"/>
        </w:rPr>
        <w:t>20</w:t>
      </w:r>
      <w:r>
        <w:rPr>
          <w:rFonts w:hint="eastAsia" w:ascii="Times New Roman" w:hAnsi="Times New Roman" w:eastAsia="宋体" w:cstheme="minorEastAsia"/>
          <w:color w:val="auto"/>
          <w:highlight w:val="none"/>
        </w:rPr>
        <w:t>年</w:t>
      </w:r>
      <w:r>
        <w:rPr>
          <w:rFonts w:hint="eastAsia" w:ascii="Times New Roman" w:hAnsi="Times New Roman" w:eastAsia="宋体" w:cstheme="minorEastAsia"/>
          <w:color w:val="auto"/>
          <w:highlight w:val="none"/>
          <w:lang w:val="en-US" w:eastAsia="zh-CN"/>
        </w:rPr>
        <w:t>6</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（3）</w:t>
      </w:r>
      <w:r>
        <w:rPr>
          <w:rFonts w:hint="eastAsia" w:ascii="Times New Roman" w:hAnsi="Times New Roman" w:eastAsia="宋体" w:cstheme="minorEastAsia"/>
          <w:color w:val="auto"/>
          <w:highlight w:val="none"/>
        </w:rPr>
        <w:t>《苏尼特右旗巴润宝力格采砂场</w:t>
      </w:r>
      <w:r>
        <w:rPr>
          <w:rFonts w:hint="eastAsia" w:eastAsia="宋体" w:cstheme="minorEastAsia"/>
          <w:color w:val="auto"/>
          <w:highlight w:val="none"/>
          <w:lang w:val="en-US" w:eastAsia="zh-CN"/>
        </w:rPr>
        <w:t>矿产资源开发利用方案</w:t>
      </w:r>
      <w:r>
        <w:rPr>
          <w:rFonts w:hint="eastAsia" w:ascii="Times New Roman" w:hAnsi="Times New Roman" w:eastAsia="宋体" w:cstheme="minorEastAsia"/>
          <w:color w:val="auto"/>
          <w:highlight w:val="none"/>
        </w:rPr>
        <w:t>》</w:t>
      </w:r>
      <w:r>
        <w:rPr>
          <w:rFonts w:hint="eastAsia" w:eastAsia="宋体" w:cstheme="minorEastAsia"/>
          <w:color w:val="auto"/>
          <w:highlight w:val="none"/>
          <w:lang w:eastAsia="zh-CN"/>
        </w:rPr>
        <w:t>，</w:t>
      </w:r>
      <w:r>
        <w:rPr>
          <w:rFonts w:hint="eastAsia" w:eastAsia="宋体" w:cstheme="minorEastAsia"/>
          <w:color w:val="auto"/>
          <w:highlight w:val="none"/>
          <w:lang w:val="en-US" w:eastAsia="zh-CN"/>
        </w:rPr>
        <w:t>锡林郭勒盟中晟达地质环境技术咨询有限公司</w:t>
      </w:r>
      <w:r>
        <w:rPr>
          <w:rFonts w:hint="eastAsia" w:ascii="Times New Roman" w:hAnsi="Times New Roman" w:eastAsia="宋体" w:cstheme="minorEastAsia"/>
          <w:color w:val="auto"/>
          <w:highlight w:val="none"/>
        </w:rPr>
        <w:t>，20</w:t>
      </w:r>
      <w:r>
        <w:rPr>
          <w:rFonts w:hint="eastAsia" w:eastAsia="宋体" w:cstheme="minorEastAsia"/>
          <w:color w:val="auto"/>
          <w:highlight w:val="none"/>
          <w:lang w:val="en-US" w:eastAsia="zh-CN"/>
        </w:rPr>
        <w:t>20</w:t>
      </w:r>
      <w:r>
        <w:rPr>
          <w:rFonts w:hint="eastAsia" w:ascii="Times New Roman" w:hAnsi="Times New Roman" w:eastAsia="宋体" w:cstheme="minorEastAsia"/>
          <w:color w:val="auto"/>
          <w:highlight w:val="none"/>
        </w:rPr>
        <w:t>年</w:t>
      </w:r>
      <w:r>
        <w:rPr>
          <w:rFonts w:hint="eastAsia" w:eastAsia="宋体" w:cstheme="minorEastAsia"/>
          <w:color w:val="auto"/>
          <w:highlight w:val="none"/>
          <w:lang w:val="en-US" w:eastAsia="zh-CN"/>
        </w:rPr>
        <w:t>8</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（4）</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苏尼特右旗世荣基建石料开采有限责任公司</w:t>
      </w:r>
      <w:r>
        <w:rPr>
          <w:rFonts w:hint="eastAsia" w:ascii="Times New Roman" w:hAnsi="Times New Roman" w:eastAsia="宋体" w:cstheme="minorEastAsia"/>
          <w:color w:val="auto"/>
          <w:highlight w:val="none"/>
        </w:rPr>
        <w:t>苏尼特右旗巴润宝力格采砂场</w:t>
      </w:r>
      <w:r>
        <w:rPr>
          <w:rFonts w:hint="eastAsia" w:eastAsia="宋体" w:cstheme="minorEastAsia"/>
          <w:color w:val="auto"/>
          <w:highlight w:val="none"/>
          <w:lang w:val="en-US" w:eastAsia="zh-CN"/>
        </w:rPr>
        <w:t>矿山地质环境保护与土地复垦方案</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内蒙古中石矿业有限公司</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2020</w:t>
      </w:r>
      <w:r>
        <w:rPr>
          <w:rFonts w:hint="eastAsia" w:ascii="Times New Roman" w:hAnsi="Times New Roman" w:eastAsia="宋体" w:cstheme="minorEastAsia"/>
          <w:color w:val="auto"/>
          <w:highlight w:val="none"/>
        </w:rPr>
        <w:t>年</w:t>
      </w:r>
      <w:r>
        <w:rPr>
          <w:rFonts w:hint="eastAsia" w:eastAsia="宋体" w:cstheme="minorEastAsia"/>
          <w:color w:val="auto"/>
          <w:highlight w:val="none"/>
          <w:lang w:val="en-US" w:eastAsia="zh-CN"/>
        </w:rPr>
        <w:t>9</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（5）</w:t>
      </w:r>
      <w:r>
        <w:rPr>
          <w:rFonts w:hint="eastAsia" w:ascii="Times New Roman" w:hAnsi="Times New Roman" w:eastAsia="宋体" w:cstheme="minorEastAsia"/>
          <w:color w:val="auto"/>
          <w:highlight w:val="none"/>
        </w:rPr>
        <w:t>《苏尼特右旗巴润宝力格采砂场项目</w:t>
      </w:r>
      <w:r>
        <w:rPr>
          <w:rFonts w:hint="eastAsia" w:eastAsia="宋体" w:cstheme="minorEastAsia"/>
          <w:color w:val="auto"/>
          <w:highlight w:val="none"/>
          <w:lang w:val="en-US" w:eastAsia="zh-CN"/>
        </w:rPr>
        <w:t>环境影响评价报告表</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及其批复文件</w:t>
      </w:r>
      <w:r>
        <w:rPr>
          <w:rFonts w:hint="eastAsia" w:ascii="Times New Roman" w:hAnsi="Times New Roman" w:eastAsia="宋体" w:cstheme="minorEastAsia"/>
          <w:color w:val="auto"/>
          <w:highlight w:val="none"/>
        </w:rPr>
        <w:t>，内蒙古新创环境科技有限公司，201</w:t>
      </w:r>
      <w:r>
        <w:rPr>
          <w:rFonts w:hint="eastAsia" w:eastAsia="宋体" w:cstheme="minorEastAsia"/>
          <w:color w:val="auto"/>
          <w:highlight w:val="none"/>
          <w:lang w:val="en-US" w:eastAsia="zh-CN"/>
        </w:rPr>
        <w:t>5</w:t>
      </w:r>
      <w:r>
        <w:rPr>
          <w:rFonts w:hint="eastAsia" w:ascii="Times New Roman" w:hAnsi="Times New Roman" w:eastAsia="宋体" w:cstheme="minorEastAsia"/>
          <w:color w:val="auto"/>
          <w:highlight w:val="none"/>
        </w:rPr>
        <w:t>年；</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（6）《</w:t>
      </w:r>
      <w:r>
        <w:rPr>
          <w:rFonts w:hint="eastAsia" w:ascii="Times New Roman" w:hAnsi="Times New Roman" w:eastAsia="宋体" w:cstheme="minorEastAsia"/>
          <w:color w:val="auto"/>
          <w:highlight w:val="none"/>
        </w:rPr>
        <w:t>苏尼特右旗巴润宝力格采砂场项目苏尼特右旗巴润宝力格采砂场项目</w:t>
      </w:r>
      <w:r>
        <w:rPr>
          <w:rFonts w:hint="eastAsia" w:ascii="Times New Roman" w:hAnsi="Times New Roman" w:eastAsia="宋体" w:cstheme="minorEastAsia"/>
          <w:color w:val="auto"/>
          <w:highlight w:val="none"/>
          <w:lang w:val="en-US" w:eastAsia="zh-CN"/>
        </w:rPr>
        <w:t>》，锡林郭勒盟鑫创绿环境治理服务有限公司，2019年</w:t>
      </w:r>
      <w:r>
        <w:rPr>
          <w:rFonts w:hint="eastAsia" w:eastAsia="宋体" w:cstheme="minorEastAsia"/>
          <w:color w:val="auto"/>
          <w:highlight w:val="none"/>
          <w:lang w:val="en-US" w:eastAsia="zh-CN"/>
        </w:rPr>
        <w:t>10</w:t>
      </w:r>
      <w:r>
        <w:rPr>
          <w:rFonts w:hint="eastAsia" w:ascii="Times New Roman" w:hAnsi="Times New Roman" w:eastAsia="宋体" w:cstheme="minorEastAsia"/>
          <w:color w:val="auto"/>
          <w:highlight w:val="none"/>
          <w:lang w:val="en-US" w:eastAsia="zh-CN"/>
        </w:rPr>
        <w:t>月。</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bookmarkStart w:id="24" w:name="_Toc8051022"/>
      <w:bookmarkStart w:id="25" w:name="_Toc2026541"/>
      <w:bookmarkStart w:id="26" w:name="_Toc7992"/>
      <w:r>
        <w:rPr>
          <w:rFonts w:hint="eastAsia" w:ascii="Times New Roman" w:hAnsi="Times New Roman" w:eastAsia="宋体"/>
          <w:b/>
          <w:bCs w:val="0"/>
          <w:color w:val="auto"/>
          <w:highlight w:val="none"/>
        </w:rPr>
        <w:t>2.2评价目的和原则</w:t>
      </w:r>
      <w:bookmarkEnd w:id="24"/>
      <w:bookmarkEnd w:id="25"/>
      <w:bookmarkEnd w:id="26"/>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27" w:name="_Toc8051023"/>
      <w:bookmarkStart w:id="28" w:name="_Toc31507"/>
      <w:bookmarkStart w:id="29" w:name="_Toc2026542"/>
      <w:r>
        <w:rPr>
          <w:rFonts w:hint="eastAsia" w:ascii="Times New Roman" w:hAnsi="Times New Roman" w:eastAsia="宋体"/>
          <w:b/>
          <w:bCs w:val="0"/>
          <w:color w:val="auto"/>
          <w:sz w:val="30"/>
          <w:highlight w:val="none"/>
        </w:rPr>
        <w:t>2.2.1 评价目的</w:t>
      </w:r>
      <w:bookmarkEnd w:id="27"/>
      <w:bookmarkEnd w:id="28"/>
      <w:bookmarkEnd w:id="29"/>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建设项目环境影响评价工作对预防项目建设可能造成的环境污染起到积极的作用。根据本项目的具体情况，本次环境影响评价工作拟达到以下目的：</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通过类比调查、现场踏勘、现状监测及评价，掌握改建工程周围环境质量现状、环境功能要求；通过模拟计算和分析，评价拟建项目建设期及运营期排放不同污染物对环境产生影响程度、范围和可接受性，在调查研究基础上提出合理可行的污染防治对策。</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根据达标排放等要求论证工程环保措施的可靠性和合理性。</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为决策部门、设计部门、地方环境保护管理部门和建设单位环境管理提供科学依据。</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30" w:name="_Toc29658"/>
      <w:bookmarkStart w:id="31" w:name="_Toc8051024"/>
      <w:bookmarkStart w:id="32" w:name="_Toc2026543"/>
      <w:r>
        <w:rPr>
          <w:rFonts w:hint="eastAsia" w:ascii="Times New Roman" w:hAnsi="Times New Roman" w:eastAsia="宋体"/>
          <w:b/>
          <w:bCs w:val="0"/>
          <w:color w:val="auto"/>
          <w:sz w:val="30"/>
          <w:highlight w:val="none"/>
        </w:rPr>
        <w:t>2.2.2 评价原则</w:t>
      </w:r>
      <w:bookmarkEnd w:id="30"/>
      <w:bookmarkEnd w:id="31"/>
      <w:bookmarkEnd w:id="32"/>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综合考虑、重点突出，综合考虑建设项目在环境保护方面的可行性，重点考虑水污染物以及大气污染物达标排放和总量控制。</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严肃审慎、实事求是，恪守相关法律法规，客观公正，促进经济建设、社会进步、环境保护协调发展、促进人与自然的和谐。以环境影响评价相关技术导则为技术原则，保证评价的深度与质量。</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充分利用已有资料，认真做好建设项目周围地区近年已建工程项目和在建建设项目环境影响评价资料以及现有的污染气象资料的研究和利用工作。</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33" w:name="_Toc3500"/>
      <w:bookmarkStart w:id="34" w:name="_Toc8051025"/>
      <w:bookmarkStart w:id="35" w:name="_Toc2026544"/>
      <w:r>
        <w:rPr>
          <w:rFonts w:hint="eastAsia" w:ascii="Times New Roman" w:hAnsi="Times New Roman" w:eastAsia="宋体"/>
          <w:b/>
          <w:bCs w:val="0"/>
          <w:color w:val="auto"/>
          <w:highlight w:val="none"/>
        </w:rPr>
        <w:t>2.3 评价因子和评价标准</w:t>
      </w:r>
      <w:bookmarkEnd w:id="33"/>
      <w:bookmarkEnd w:id="34"/>
      <w:bookmarkEnd w:id="35"/>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30"/>
          <w:highlight w:val="none"/>
          <w:lang w:val="en-US" w:eastAsia="zh-CN"/>
        </w:rPr>
      </w:pPr>
      <w:bookmarkStart w:id="36" w:name="_Toc30771"/>
      <w:bookmarkStart w:id="37" w:name="_Toc2026545"/>
      <w:bookmarkStart w:id="38" w:name="_Toc8051026"/>
      <w:r>
        <w:rPr>
          <w:rFonts w:hint="eastAsia" w:ascii="Times New Roman" w:hAnsi="Times New Roman" w:eastAsia="宋体"/>
          <w:b/>
          <w:bCs w:val="0"/>
          <w:color w:val="auto"/>
          <w:sz w:val="30"/>
          <w:highlight w:val="none"/>
        </w:rPr>
        <w:t xml:space="preserve">2.3.1 </w:t>
      </w:r>
      <w:r>
        <w:rPr>
          <w:rFonts w:hint="eastAsia" w:ascii="Times New Roman" w:hAnsi="Times New Roman" w:eastAsia="宋体"/>
          <w:b/>
          <w:bCs w:val="0"/>
          <w:color w:val="auto"/>
          <w:sz w:val="30"/>
          <w:highlight w:val="none"/>
          <w:lang w:val="en-US" w:eastAsia="zh-CN"/>
        </w:rPr>
        <w:t>环境功能区划</w:t>
      </w:r>
      <w:bookmarkEnd w:id="36"/>
    </w:p>
    <w:p>
      <w:pPr>
        <w:spacing w:line="360" w:lineRule="auto"/>
        <w:ind w:firstLine="48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环境空气</w:t>
      </w:r>
    </w:p>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根据《环境空气质量标准》（GB3095-2012）中环境空气质量功能区划分：城镇规划中确定的居民区、商业交通居民混合区、文化区、一般工业区和农村地 区均属于二类功能区，本项目位于农牧区，环境空气功能区划属二类功能区。</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声环境</w:t>
      </w:r>
    </w:p>
    <w:p>
      <w:pPr>
        <w:spacing w:line="360" w:lineRule="auto"/>
        <w:ind w:firstLine="480"/>
        <w:rPr>
          <w:rFonts w:ascii="Times New Roman" w:hAnsi="Times New Roman" w:eastAsia="宋体" w:cstheme="minorBidi"/>
          <w:color w:val="auto"/>
          <w:highlight w:val="none"/>
        </w:rPr>
      </w:pPr>
      <w:r>
        <w:rPr>
          <w:rFonts w:ascii="Times New Roman" w:hAnsi="Times New Roman" w:eastAsia="宋体" w:cstheme="minorBidi"/>
          <w:color w:val="auto"/>
          <w:highlight w:val="none"/>
        </w:rPr>
        <w:t xml:space="preserve"> 项目所在地为乡村区域， 声环境功能区划拟参照《声环境质量标准》（</w:t>
      </w:r>
      <w:r>
        <w:rPr>
          <w:rFonts w:hint="default" w:ascii="Times New Roman" w:hAnsi="Times New Roman" w:eastAsia="宋体" w:cstheme="minorBidi"/>
          <w:color w:val="auto"/>
          <w:highlight w:val="none"/>
        </w:rPr>
        <w:t>GB3096-2008</w:t>
      </w:r>
      <w:r>
        <w:rPr>
          <w:rFonts w:ascii="Times New Roman" w:hAnsi="Times New Roman" w:eastAsia="宋体" w:cstheme="minorBidi"/>
          <w:color w:val="auto"/>
          <w:highlight w:val="none"/>
        </w:rPr>
        <w:t>）</w:t>
      </w:r>
      <w:r>
        <w:rPr>
          <w:rFonts w:hint="default" w:ascii="Times New Roman" w:hAnsi="Times New Roman" w:eastAsia="宋体" w:cstheme="minorBidi"/>
          <w:color w:val="auto"/>
          <w:highlight w:val="none"/>
        </w:rPr>
        <w:t xml:space="preserve">2 </w:t>
      </w:r>
      <w:r>
        <w:rPr>
          <w:rFonts w:ascii="Times New Roman" w:hAnsi="Times New Roman" w:eastAsia="宋体" w:cstheme="minorBidi"/>
          <w:color w:val="auto"/>
          <w:highlight w:val="none"/>
        </w:rPr>
        <w:t>类区执行。</w:t>
      </w:r>
    </w:p>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土壤环境</w:t>
      </w:r>
    </w:p>
    <w:p>
      <w:pPr>
        <w:spacing w:line="360" w:lineRule="auto"/>
        <w:ind w:firstLine="480"/>
        <w:rPr>
          <w:rFonts w:hint="eastAsia" w:ascii="Times New Roman" w:hAnsi="Times New Roman" w:eastAsia="宋体" w:cstheme="minorBidi"/>
          <w:color w:val="auto"/>
          <w:highlight w:val="none"/>
          <w:lang w:eastAsia="zh-CN"/>
        </w:rPr>
      </w:pPr>
      <w:r>
        <w:rPr>
          <w:rFonts w:ascii="Times New Roman" w:hAnsi="Times New Roman" w:eastAsia="宋体" w:cstheme="minorBidi"/>
          <w:color w:val="auto"/>
          <w:highlight w:val="none"/>
        </w:rPr>
        <w:t>矿区内土壤环境执行《土壤环境质量 建设用地土壤污染风险管控标准》（试 行）（</w:t>
      </w:r>
      <w:r>
        <w:rPr>
          <w:rFonts w:hint="default" w:ascii="Times New Roman" w:hAnsi="Times New Roman" w:eastAsia="宋体" w:cstheme="minorBidi"/>
          <w:color w:val="auto"/>
          <w:highlight w:val="none"/>
        </w:rPr>
        <w:t>GB36600-2018</w:t>
      </w:r>
      <w:r>
        <w:rPr>
          <w:rFonts w:ascii="Times New Roman" w:hAnsi="Times New Roman" w:eastAsia="宋体" w:cstheme="minorBidi"/>
          <w:color w:val="auto"/>
          <w:highlight w:val="none"/>
        </w:rPr>
        <w:t>）中的第二类用地标准。</w:t>
      </w:r>
      <w:bookmarkEnd w:id="37"/>
      <w:bookmarkEnd w:id="3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39" w:name="_Toc8051027"/>
      <w:bookmarkStart w:id="40" w:name="_Toc856"/>
      <w:bookmarkStart w:id="41" w:name="_Toc2026546"/>
      <w:r>
        <w:rPr>
          <w:rFonts w:hint="eastAsia" w:ascii="Times New Roman" w:hAnsi="Times New Roman" w:eastAsia="宋体"/>
          <w:b/>
          <w:bCs w:val="0"/>
          <w:color w:val="auto"/>
          <w:sz w:val="30"/>
          <w:highlight w:val="none"/>
        </w:rPr>
        <w:t>2.3.2 评价标准</w:t>
      </w:r>
      <w:bookmarkEnd w:id="39"/>
      <w:bookmarkEnd w:id="40"/>
      <w:bookmarkEnd w:id="41"/>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color w:val="auto"/>
          <w:highlight w:val="none"/>
        </w:rPr>
      </w:pPr>
      <w:r>
        <w:rPr>
          <w:rFonts w:hint="eastAsia" w:ascii="Times New Roman" w:hAnsi="Times New Roman" w:eastAsia="宋体"/>
          <w:b/>
          <w:bCs w:val="0"/>
          <w:color w:val="auto"/>
          <w:highlight w:val="none"/>
        </w:rPr>
        <w:t>2.3.2.1环境质量标准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环境空气</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val="en-US" w:eastAsia="zh-CN"/>
        </w:rPr>
        <w:t>常规基本因子执行</w:t>
      </w:r>
      <w:r>
        <w:rPr>
          <w:rFonts w:hint="eastAsia" w:ascii="Times New Roman" w:hAnsi="Times New Roman" w:eastAsia="宋体" w:cstheme="minorBidi"/>
          <w:color w:val="auto"/>
          <w:highlight w:val="none"/>
        </w:rPr>
        <w:t>《环境空气质量标准》（GB3095-2012）中的二级标准；（DB13/1577-2012）。标准值见表2.3-1。</w:t>
      </w:r>
    </w:p>
    <w:p>
      <w:pPr>
        <w:spacing w:before="156" w:beforeLines="50" w:after="156" w:afterLines="50" w:line="360" w:lineRule="auto"/>
        <w:ind w:firstLine="0" w:firstLineChars="0"/>
        <w:jc w:val="center"/>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表2.3-1   环境空气质量标准</w:t>
      </w:r>
    </w:p>
    <w:tbl>
      <w:tblPr>
        <w:tblStyle w:val="35"/>
        <w:tblW w:w="83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2237"/>
        <w:gridCol w:w="1338"/>
        <w:gridCol w:w="1716"/>
        <w:gridCol w:w="171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15"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污染物名称</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取值时间</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浓度限值</w:t>
            </w:r>
          </w:p>
        </w:tc>
        <w:tc>
          <w:tcPr>
            <w:tcW w:w="1716"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单位</w:t>
            </w:r>
          </w:p>
        </w:tc>
        <w:tc>
          <w:tcPr>
            <w:tcW w:w="1716"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SO</w:t>
            </w:r>
            <w:r>
              <w:rPr>
                <w:rFonts w:ascii="Times New Roman" w:hAnsi="Times New Roman" w:eastAsia="宋体"/>
                <w:color w:val="auto"/>
                <w:highlight w:val="none"/>
                <w:vertAlign w:val="subscript"/>
              </w:rPr>
              <w:t>2</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500</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cs="Times New Roman"/>
                <w:color w:val="auto"/>
                <w:highlight w:val="none"/>
                <w:lang w:val="en-US" w:eastAsia="zh-CN"/>
              </w:rPr>
              <w:t>μ</w:t>
            </w:r>
            <w:r>
              <w:rPr>
                <w:rFonts w:ascii="Times New Roman" w:hAnsi="Times New Roman" w:eastAsia="宋体"/>
                <w:color w:val="auto"/>
                <w:highlight w:val="none"/>
              </w:rPr>
              <w:t>g/m</w:t>
            </w:r>
            <w:r>
              <w:rPr>
                <w:rFonts w:ascii="Times New Roman" w:hAnsi="Times New Roman" w:eastAsia="宋体"/>
                <w:color w:val="auto"/>
                <w:highlight w:val="none"/>
                <w:vertAlign w:val="superscript"/>
              </w:rPr>
              <w:t>3</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szCs w:val="24"/>
                <w:highlight w:val="none"/>
              </w:rPr>
              <w:t>《环境空气质量标准》（GB3095-</w:t>
            </w:r>
            <w:r>
              <w:rPr>
                <w:rFonts w:hint="eastAsia" w:ascii="Times New Roman" w:hAnsi="Times New Roman" w:eastAsia="宋体"/>
                <w:color w:val="auto"/>
                <w:szCs w:val="24"/>
                <w:highlight w:val="none"/>
              </w:rPr>
              <w:t>2012</w:t>
            </w:r>
            <w:r>
              <w:rPr>
                <w:rFonts w:ascii="Times New Roman" w:hAnsi="Times New Roman" w:eastAsia="宋体"/>
                <w:color w:val="auto"/>
                <w:szCs w:val="24"/>
                <w:highlight w:val="none"/>
              </w:rPr>
              <w:t>）中的二级标准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150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60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NO</w:t>
            </w:r>
            <w:r>
              <w:rPr>
                <w:rFonts w:ascii="Times New Roman" w:hAnsi="Times New Roman" w:eastAsia="宋体"/>
                <w:color w:val="auto"/>
                <w:highlight w:val="none"/>
                <w:vertAlign w:val="subscript"/>
              </w:rPr>
              <w:t>2</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80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40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CO</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10</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mg/m</w:t>
            </w:r>
            <w:r>
              <w:rPr>
                <w:rFonts w:ascii="Times New Roman" w:hAnsi="Times New Roman" w:eastAsia="宋体"/>
                <w:color w:val="auto"/>
                <w:highlight w:val="none"/>
                <w:vertAlign w:val="superscript"/>
              </w:rPr>
              <w:t>3</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4</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O</w:t>
            </w:r>
            <w:r>
              <w:rPr>
                <w:rFonts w:hint="eastAsia" w:ascii="Times New Roman" w:hAnsi="Times New Roman" w:eastAsia="宋体"/>
                <w:color w:val="auto"/>
                <w:highlight w:val="none"/>
                <w:vertAlign w:val="subscript"/>
              </w:rPr>
              <w:t>3</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200</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cs="Times New Roman"/>
                <w:color w:val="auto"/>
                <w:highlight w:val="none"/>
                <w:lang w:val="en-US" w:eastAsia="zh-CN"/>
              </w:rPr>
              <w:t>μ</w:t>
            </w:r>
            <w:r>
              <w:rPr>
                <w:rFonts w:hint="default" w:ascii="Times New Roman" w:hAnsi="Times New Roman" w:eastAsia="宋体" w:cs="Times New Roman"/>
                <w:color w:val="auto"/>
                <w:highlight w:val="none"/>
              </w:rPr>
              <w:t>g</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日最大8小时平均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160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PM</w:t>
            </w:r>
            <w:r>
              <w:rPr>
                <w:rFonts w:ascii="Times New Roman" w:hAnsi="Times New Roman" w:eastAsia="宋体"/>
                <w:color w:val="auto"/>
                <w:highlight w:val="none"/>
                <w:vertAlign w:val="subscript"/>
              </w:rPr>
              <w:t>10</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150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70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PM</w:t>
            </w:r>
            <w:r>
              <w:rPr>
                <w:rFonts w:hint="eastAsia" w:ascii="Times New Roman" w:hAnsi="Times New Roman" w:eastAsia="宋体"/>
                <w:color w:val="auto"/>
                <w:highlight w:val="none"/>
                <w:vertAlign w:val="subscript"/>
              </w:rPr>
              <w:t>2.5</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75</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35</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restart"/>
            <w:tcBorders>
              <w:tl2br w:val="nil"/>
              <w:tr2bl w:val="nil"/>
            </w:tcBorders>
            <w:vAlign w:val="center"/>
          </w:tcPr>
          <w:p>
            <w:pPr>
              <w:pStyle w:val="52"/>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TSP</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300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200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声环境质量标准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《声环境质量标准》（GB3096-2008）中</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rPr>
        <w:t>类区标准，标准值见表2.3-2。</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jc w:val="center"/>
        <w:textAlignment w:val="auto"/>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表2.3-2   声环境质量标准</w:t>
      </w:r>
    </w:p>
    <w:tbl>
      <w:tblPr>
        <w:tblStyle w:val="35"/>
        <w:tblW w:w="850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3309"/>
        <w:gridCol w:w="32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37"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类别</w:t>
            </w:r>
          </w:p>
        </w:tc>
        <w:tc>
          <w:tcPr>
            <w:tcW w:w="330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昼间[dB（A）]</w:t>
            </w:r>
          </w:p>
        </w:tc>
        <w:tc>
          <w:tcPr>
            <w:tcW w:w="325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夜间[dB（A）]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37"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lang w:val="en-US" w:eastAsia="zh-CN"/>
              </w:rPr>
              <w:t>2</w:t>
            </w:r>
            <w:r>
              <w:rPr>
                <w:rFonts w:hint="eastAsia" w:ascii="Times New Roman" w:hAnsi="Times New Roman" w:eastAsia="宋体" w:cstheme="minorBidi"/>
                <w:color w:val="auto"/>
                <w:sz w:val="21"/>
                <w:highlight w:val="none"/>
              </w:rPr>
              <w:t>类</w:t>
            </w:r>
          </w:p>
        </w:tc>
        <w:tc>
          <w:tcPr>
            <w:tcW w:w="3309" w:type="dxa"/>
            <w:tcBorders>
              <w:tl2br w:val="nil"/>
              <w:tr2bl w:val="nil"/>
            </w:tcBorders>
            <w:vAlign w:val="center"/>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6</w:t>
            </w:r>
            <w:r>
              <w:rPr>
                <w:rFonts w:hint="eastAsia" w:ascii="Times New Roman" w:hAnsi="Times New Roman" w:eastAsia="宋体" w:cstheme="minorBidi"/>
                <w:color w:val="auto"/>
                <w:sz w:val="21"/>
                <w:highlight w:val="none"/>
                <w:lang w:val="en-US" w:eastAsia="zh-CN"/>
              </w:rPr>
              <w:t>0</w:t>
            </w:r>
          </w:p>
        </w:tc>
        <w:tc>
          <w:tcPr>
            <w:tcW w:w="3259" w:type="dxa"/>
            <w:tcBorders>
              <w:tl2br w:val="nil"/>
              <w:tr2bl w:val="nil"/>
            </w:tcBorders>
            <w:vAlign w:val="center"/>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5</w:t>
            </w:r>
            <w:r>
              <w:rPr>
                <w:rFonts w:hint="eastAsia" w:ascii="Times New Roman" w:hAnsi="Times New Roman" w:eastAsia="宋体" w:cstheme="minorBidi"/>
                <w:color w:val="auto"/>
                <w:sz w:val="21"/>
                <w:highlight w:val="none"/>
                <w:lang w:val="en-US" w:eastAsia="zh-CN"/>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）土壤环境质量标准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项目所处区域土壤环境执行《土壤环境质量 建设用地土壤污染风险管控标 准》（试行）（</w:t>
      </w:r>
      <w:r>
        <w:rPr>
          <w:rFonts w:hint="default" w:ascii="Times New Roman" w:hAnsi="Times New Roman" w:eastAsia="宋体" w:cstheme="minorBidi"/>
          <w:color w:val="auto"/>
          <w:highlight w:val="none"/>
          <w:lang w:eastAsia="zh-CN"/>
        </w:rPr>
        <w:t>GB36600-2018</w:t>
      </w:r>
      <w:r>
        <w:rPr>
          <w:rFonts w:hint="eastAsia" w:ascii="Times New Roman" w:hAnsi="Times New Roman" w:eastAsia="宋体" w:cstheme="minorBidi"/>
          <w:color w:val="auto"/>
          <w:highlight w:val="none"/>
          <w:lang w:eastAsia="zh-CN"/>
        </w:rPr>
        <w:t>）中的第二类用地标准，标准值见表</w:t>
      </w:r>
      <w:r>
        <w:rPr>
          <w:rFonts w:hint="eastAsia" w:ascii="Times New Roman" w:hAnsi="Times New Roman" w:eastAsia="宋体" w:cstheme="minorBidi"/>
          <w:color w:val="auto"/>
          <w:highlight w:val="none"/>
          <w:lang w:val="en-US" w:eastAsia="zh-CN"/>
        </w:rPr>
        <w:t>2.3-</w:t>
      </w:r>
      <w:r>
        <w:rPr>
          <w:rFonts w:hint="eastAsia"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p>
    <w:p>
      <w:pPr>
        <w:tabs>
          <w:tab w:val="left" w:pos="3932"/>
        </w:tabs>
        <w:spacing w:before="3" w:line="240" w:lineRule="auto"/>
        <w:ind w:left="2893" w:right="217"/>
        <w:jc w:val="left"/>
        <w:outlineLvl w:val="9"/>
        <w:rPr>
          <w:rFonts w:ascii="Times New Roman" w:hAnsi="Times New Roman"/>
          <w:b/>
          <w:bCs/>
          <w:highlight w:val="none"/>
        </w:rPr>
      </w:pPr>
      <w:r>
        <w:rPr>
          <w:rFonts w:ascii="Times New Roman" w:hAnsi="Times New Roman"/>
          <w:b/>
          <w:bCs/>
          <w:highlight w:val="none"/>
        </w:rPr>
        <w:t>表</w:t>
      </w:r>
      <w:r>
        <w:rPr>
          <w:rFonts w:ascii="Times New Roman" w:hAnsi="Times New Roman"/>
          <w:b/>
          <w:bCs/>
          <w:spacing w:val="-63"/>
          <w:highlight w:val="none"/>
        </w:rPr>
        <w:t xml:space="preserve"> </w:t>
      </w:r>
      <w:r>
        <w:rPr>
          <w:rFonts w:hint="eastAsia" w:ascii="Times New Roman" w:hAnsi="Times New Roman" w:eastAsia="宋体" w:cs="Times New Roman"/>
          <w:b/>
          <w:bCs/>
          <w:highlight w:val="none"/>
          <w:lang w:val="en-US" w:eastAsia="zh-CN"/>
        </w:rPr>
        <w:t>2.3-</w:t>
      </w:r>
      <w:r>
        <w:rPr>
          <w:rFonts w:hint="eastAsia" w:eastAsia="宋体" w:cs="Times New Roman"/>
          <w:b/>
          <w:bCs/>
          <w:highlight w:val="none"/>
          <w:lang w:val="en-US" w:eastAsia="zh-CN"/>
        </w:rPr>
        <w:t>3</w:t>
      </w:r>
      <w:r>
        <w:rPr>
          <w:rFonts w:hint="default" w:ascii="Times New Roman" w:hAnsi="Times New Roman" w:eastAsia="Times New Roman" w:cs="Times New Roman"/>
          <w:b/>
          <w:bCs/>
          <w:highlight w:val="none"/>
        </w:rPr>
        <w:tab/>
      </w:r>
      <w:r>
        <w:rPr>
          <w:rFonts w:ascii="Times New Roman" w:hAnsi="Times New Roman"/>
          <w:b/>
          <w:bCs/>
          <w:highlight w:val="none"/>
        </w:rPr>
        <w:t>土壤环境质量标准</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2197"/>
        <w:gridCol w:w="1809"/>
        <w:gridCol w:w="1808"/>
        <w:gridCol w:w="18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900"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序号</w:t>
            </w:r>
          </w:p>
        </w:tc>
        <w:tc>
          <w:tcPr>
            <w:tcW w:w="2197"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污染物项目</w:t>
            </w:r>
          </w:p>
        </w:tc>
        <w:tc>
          <w:tcPr>
            <w:tcW w:w="1809"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CAS</w:t>
            </w:r>
            <w:r>
              <w:rPr>
                <w:rFonts w:hint="default" w:ascii="Times New Roman" w:hAnsi="Times New Roman" w:eastAsia="Times New Roman" w:cs="Times New Roman"/>
                <w:spacing w:val="-5"/>
                <w:sz w:val="21"/>
                <w:szCs w:val="21"/>
                <w:highlight w:val="none"/>
              </w:rPr>
              <w:t xml:space="preserve"> </w:t>
            </w:r>
            <w:r>
              <w:rPr>
                <w:rFonts w:hint="default" w:ascii="Times New Roman" w:hAnsi="Times New Roman" w:eastAsia="宋体" w:cs="宋体"/>
                <w:sz w:val="21"/>
                <w:szCs w:val="21"/>
                <w:highlight w:val="none"/>
              </w:rPr>
              <w:t>编号</w:t>
            </w:r>
          </w:p>
        </w:tc>
        <w:tc>
          <w:tcPr>
            <w:tcW w:w="1808"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第二类用地筛选</w:t>
            </w:r>
            <w:r>
              <w:rPr>
                <w:rFonts w:hint="default" w:ascii="Times New Roman" w:hAnsi="Times New Roman" w:eastAsia="宋体" w:cs="宋体"/>
                <w:w w:val="99"/>
                <w:sz w:val="21"/>
                <w:szCs w:val="21"/>
                <w:highlight w:val="none"/>
              </w:rPr>
              <w:t>值</w:t>
            </w:r>
          </w:p>
        </w:tc>
        <w:tc>
          <w:tcPr>
            <w:tcW w:w="1808"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第二类用地管控</w:t>
            </w:r>
            <w:r>
              <w:rPr>
                <w:rFonts w:hint="default" w:ascii="Times New Roman" w:hAnsi="Times New Roman" w:eastAsia="宋体" w:cs="宋体"/>
                <w:w w:val="99"/>
                <w:sz w:val="21"/>
                <w:szCs w:val="21"/>
                <w:highlight w:val="none"/>
              </w:rPr>
              <w:t>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line="259"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重金属和无机物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1</w:t>
            </w:r>
          </w:p>
        </w:tc>
        <w:tc>
          <w:tcPr>
            <w:tcW w:w="2197"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7440-38-2</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2</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镉</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7440-43-9</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65</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172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3</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铬（六价）</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18540-29-2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5.7</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4</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铜</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7440-50-8</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18000</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36000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c>
          <w:tcPr>
            <w:tcW w:w="2197"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铅</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7439-92-1</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800</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2500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6</w:t>
            </w:r>
          </w:p>
        </w:tc>
        <w:tc>
          <w:tcPr>
            <w:tcW w:w="2197"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汞</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7439-97-6</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38</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7</w:t>
            </w:r>
          </w:p>
        </w:tc>
        <w:tc>
          <w:tcPr>
            <w:tcW w:w="2197"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镍</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7440-02-0</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900</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挥发性有机物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8</w:t>
            </w:r>
          </w:p>
        </w:tc>
        <w:tc>
          <w:tcPr>
            <w:tcW w:w="2197" w:type="dxa"/>
            <w:tcBorders>
              <w:tl2br w:val="nil"/>
              <w:tr2bl w:val="nil"/>
            </w:tcBorders>
            <w:vAlign w:val="center"/>
          </w:tcPr>
          <w:p>
            <w:pPr>
              <w:pStyle w:val="118"/>
              <w:spacing w:line="260"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四氯化碳</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56-23-5</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9</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氯仿</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67-66-3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0.9</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w:t>
            </w:r>
          </w:p>
        </w:tc>
        <w:tc>
          <w:tcPr>
            <w:tcW w:w="2197" w:type="dxa"/>
            <w:tcBorders>
              <w:tl2br w:val="nil"/>
              <w:tr2bl w:val="nil"/>
            </w:tcBorders>
            <w:vAlign w:val="center"/>
          </w:tcPr>
          <w:p>
            <w:pPr>
              <w:pStyle w:val="118"/>
              <w:spacing w:line="259"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氯甲烷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74-87-3</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37</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11</w:t>
            </w:r>
          </w:p>
        </w:tc>
        <w:tc>
          <w:tcPr>
            <w:tcW w:w="2197" w:type="dxa"/>
            <w:tcBorders>
              <w:tl2br w:val="nil"/>
              <w:tr2bl w:val="nil"/>
            </w:tcBorders>
            <w:vAlign w:val="center"/>
          </w:tcPr>
          <w:p>
            <w:pPr>
              <w:pStyle w:val="118"/>
              <w:spacing w:line="275"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75-34-3</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9</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二氯乙烷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107-06-2</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13</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75-34-3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66</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14</w:t>
            </w:r>
          </w:p>
        </w:tc>
        <w:tc>
          <w:tcPr>
            <w:tcW w:w="2197" w:type="dxa"/>
            <w:tcBorders>
              <w:tl2br w:val="nil"/>
              <w:tr2bl w:val="nil"/>
            </w:tcBorders>
            <w:vAlign w:val="center"/>
          </w:tcPr>
          <w:p>
            <w:pPr>
              <w:pStyle w:val="118"/>
              <w:spacing w:line="276"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顺</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156-59-2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596</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2197"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反</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156-60-5</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54</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163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16</w:t>
            </w:r>
          </w:p>
        </w:tc>
        <w:tc>
          <w:tcPr>
            <w:tcW w:w="2197" w:type="dxa"/>
            <w:tcBorders>
              <w:tl2br w:val="nil"/>
              <w:tr2bl w:val="nil"/>
            </w:tcBorders>
            <w:vAlign w:val="center"/>
          </w:tcPr>
          <w:p>
            <w:pPr>
              <w:pStyle w:val="118"/>
              <w:spacing w:line="259"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二氯甲烷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75-09-2</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616</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17</w:t>
            </w:r>
          </w:p>
        </w:tc>
        <w:tc>
          <w:tcPr>
            <w:tcW w:w="2197" w:type="dxa"/>
            <w:tcBorders>
              <w:tl2br w:val="nil"/>
              <w:tr2bl w:val="nil"/>
            </w:tcBorders>
            <w:vAlign w:val="center"/>
          </w:tcPr>
          <w:p>
            <w:pPr>
              <w:pStyle w:val="118"/>
              <w:spacing w:line="275"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二氯丙烷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78-87-5</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四氯乙烷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630-20-6</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19</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四氯乙烷</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79-34-5</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6.8</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w:t>
            </w:r>
          </w:p>
        </w:tc>
        <w:tc>
          <w:tcPr>
            <w:tcW w:w="2197" w:type="dxa"/>
            <w:tcBorders>
              <w:tl2br w:val="nil"/>
              <w:tr2bl w:val="nil"/>
            </w:tcBorders>
            <w:vAlign w:val="center"/>
          </w:tcPr>
          <w:p>
            <w:pPr>
              <w:pStyle w:val="118"/>
              <w:spacing w:line="260"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四氯乙烯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127-18-4</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53</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21</w:t>
            </w:r>
          </w:p>
        </w:tc>
        <w:tc>
          <w:tcPr>
            <w:tcW w:w="2197"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三氯乙烷</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71-55-6</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840</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22</w:t>
            </w:r>
          </w:p>
        </w:tc>
        <w:tc>
          <w:tcPr>
            <w:tcW w:w="2197"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三氯乙烷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79-00-5</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23</w:t>
            </w:r>
          </w:p>
        </w:tc>
        <w:tc>
          <w:tcPr>
            <w:tcW w:w="2197" w:type="dxa"/>
            <w:tcBorders>
              <w:tl2br w:val="nil"/>
              <w:tr2bl w:val="nil"/>
            </w:tcBorders>
            <w:vAlign w:val="center"/>
          </w:tcPr>
          <w:p>
            <w:pPr>
              <w:pStyle w:val="118"/>
              <w:spacing w:line="259"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三氯乙烯</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79-01-6</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24</w:t>
            </w:r>
          </w:p>
        </w:tc>
        <w:tc>
          <w:tcPr>
            <w:tcW w:w="2197"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3-</w:t>
            </w:r>
            <w:r>
              <w:rPr>
                <w:rFonts w:hint="default" w:ascii="Times New Roman" w:hAnsi="Times New Roman" w:eastAsia="宋体" w:cs="宋体"/>
                <w:sz w:val="21"/>
                <w:szCs w:val="21"/>
                <w:highlight w:val="none"/>
              </w:rPr>
              <w:t>三氯丙烷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96-18-4</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0.5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25</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75-01-4</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0.43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26</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71-43-2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4</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27</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108-90-7</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270</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二氯苯</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95-50-1</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29</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4-</w:t>
            </w:r>
            <w:r>
              <w:rPr>
                <w:rFonts w:hint="default" w:ascii="Times New Roman" w:hAnsi="Times New Roman" w:eastAsia="宋体" w:cs="宋体"/>
                <w:sz w:val="21"/>
                <w:szCs w:val="21"/>
                <w:highlight w:val="none"/>
              </w:rPr>
              <w:t>二氯苯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106-46-7</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30</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乙苯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100-41-4</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31</w:t>
            </w:r>
          </w:p>
        </w:tc>
        <w:tc>
          <w:tcPr>
            <w:tcW w:w="2197" w:type="dxa"/>
            <w:tcBorders>
              <w:tl2br w:val="nil"/>
              <w:tr2bl w:val="nil"/>
            </w:tcBorders>
            <w:vAlign w:val="center"/>
          </w:tcPr>
          <w:p>
            <w:pPr>
              <w:pStyle w:val="118"/>
              <w:spacing w:line="262"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苯乙烯</w:t>
            </w:r>
          </w:p>
        </w:tc>
        <w:tc>
          <w:tcPr>
            <w:tcW w:w="1809"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100-42-5</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1290</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32</w:t>
            </w:r>
          </w:p>
        </w:tc>
        <w:tc>
          <w:tcPr>
            <w:tcW w:w="2197"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甲苯</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108-88-3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1200</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33</w:t>
            </w:r>
          </w:p>
        </w:tc>
        <w:tc>
          <w:tcPr>
            <w:tcW w:w="2197"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间二甲苯</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对二甲苯</w:t>
            </w:r>
          </w:p>
        </w:tc>
        <w:tc>
          <w:tcPr>
            <w:tcW w:w="1809"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108-38-3</w:t>
            </w:r>
            <w:r>
              <w:rPr>
                <w:rFonts w:hint="default" w:ascii="Times New Roman" w:hAnsi="Times New Roman" w:eastAsia="宋体" w:cs="宋体"/>
                <w:sz w:val="21"/>
                <w:szCs w:val="21"/>
                <w:highlight w:val="none"/>
              </w:rPr>
              <w:t>，</w:t>
            </w:r>
            <w:r>
              <w:rPr>
                <w:rFonts w:ascii="Times New Roman" w:hAnsi="Times New Roman"/>
                <w:sz w:val="21"/>
                <w:highlight w:val="none"/>
              </w:rPr>
              <w:t>106-42-3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570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570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34</w:t>
            </w:r>
          </w:p>
        </w:tc>
        <w:tc>
          <w:tcPr>
            <w:tcW w:w="2197" w:type="dxa"/>
            <w:tcBorders>
              <w:tl2br w:val="nil"/>
              <w:tr2bl w:val="nil"/>
            </w:tcBorders>
            <w:vAlign w:val="center"/>
          </w:tcPr>
          <w:p>
            <w:pPr>
              <w:pStyle w:val="118"/>
              <w:spacing w:line="261"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邻二甲苯</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95-47-6</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640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半挥发性有机物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35</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硝基苯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98-95-3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76</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760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36</w:t>
            </w:r>
          </w:p>
        </w:tc>
        <w:tc>
          <w:tcPr>
            <w:tcW w:w="2197" w:type="dxa"/>
            <w:tcBorders>
              <w:tl2br w:val="nil"/>
              <w:tr2bl w:val="nil"/>
            </w:tcBorders>
            <w:vAlign w:val="center"/>
          </w:tcPr>
          <w:p>
            <w:pPr>
              <w:pStyle w:val="118"/>
              <w:spacing w:line="262"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苯胺</w:t>
            </w:r>
          </w:p>
        </w:tc>
        <w:tc>
          <w:tcPr>
            <w:tcW w:w="1809"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62-53-3</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260</w:t>
            </w:r>
          </w:p>
        </w:tc>
        <w:tc>
          <w:tcPr>
            <w:tcW w:w="1808" w:type="dxa"/>
            <w:tcBorders>
              <w:tl2br w:val="nil"/>
              <w:tr2bl w:val="nil"/>
            </w:tcBorders>
            <w:vAlign w:val="center"/>
          </w:tcPr>
          <w:p>
            <w:pPr>
              <w:pStyle w:val="118"/>
              <w:spacing w:before="36"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663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37</w:t>
            </w:r>
          </w:p>
        </w:tc>
        <w:tc>
          <w:tcPr>
            <w:tcW w:w="2197"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氯酚</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95-57-8</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2256</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4500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38</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[α]</w:t>
            </w:r>
            <w:r>
              <w:rPr>
                <w:rFonts w:hint="default" w:ascii="Times New Roman" w:hAnsi="Times New Roman" w:eastAsia="宋体" w:cs="宋体"/>
                <w:sz w:val="21"/>
                <w:szCs w:val="21"/>
                <w:highlight w:val="none"/>
              </w:rPr>
              <w:t>蒽</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56-55-3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39</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[α]</w:t>
            </w:r>
            <w:r>
              <w:rPr>
                <w:rFonts w:hint="default" w:ascii="Times New Roman" w:hAnsi="Times New Roman" w:eastAsia="宋体" w:cs="宋体"/>
                <w:sz w:val="21"/>
                <w:szCs w:val="21"/>
                <w:highlight w:val="none"/>
              </w:rPr>
              <w:t>芘</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50-32-8</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40</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[b]</w:t>
            </w:r>
            <w:r>
              <w:rPr>
                <w:rFonts w:hint="default" w:ascii="Times New Roman" w:hAnsi="Times New Roman" w:eastAsia="宋体" w:cs="宋体"/>
                <w:sz w:val="21"/>
                <w:szCs w:val="21"/>
                <w:highlight w:val="none"/>
              </w:rPr>
              <w:t>荧蒽</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205-99-2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41</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[k]</w:t>
            </w:r>
            <w:r>
              <w:rPr>
                <w:rFonts w:hint="default" w:ascii="Times New Roman" w:hAnsi="Times New Roman" w:eastAsia="宋体" w:cs="宋体"/>
                <w:sz w:val="21"/>
                <w:szCs w:val="21"/>
                <w:highlight w:val="none"/>
              </w:rPr>
              <w:t>荧蒽</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207-08-9</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42</w:t>
            </w:r>
          </w:p>
        </w:tc>
        <w:tc>
          <w:tcPr>
            <w:tcW w:w="2197"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䓛</w:t>
            </w:r>
          </w:p>
        </w:tc>
        <w:tc>
          <w:tcPr>
            <w:tcW w:w="1809"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218-01-9</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1293</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43</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二苯并</w:t>
            </w:r>
            <w:r>
              <w:rPr>
                <w:rFonts w:hint="default" w:ascii="Times New Roman" w:hAnsi="Times New Roman" w:eastAsia="Times New Roman" w:cs="Times New Roman"/>
                <w:sz w:val="21"/>
                <w:szCs w:val="21"/>
                <w:highlight w:val="none"/>
              </w:rPr>
              <w:t>[α</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h]</w:t>
            </w:r>
            <w:r>
              <w:rPr>
                <w:rFonts w:hint="default" w:ascii="Times New Roman" w:hAnsi="Times New Roman" w:eastAsia="宋体" w:cs="宋体"/>
                <w:sz w:val="21"/>
                <w:szCs w:val="21"/>
                <w:highlight w:val="none"/>
              </w:rPr>
              <w:t>蒽</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53-70-3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44</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茚并</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3-cd]</w:t>
            </w:r>
            <w:r>
              <w:rPr>
                <w:rFonts w:hint="default" w:ascii="Times New Roman" w:hAnsi="Times New Roman" w:eastAsia="宋体" w:cs="宋体"/>
                <w:sz w:val="21"/>
                <w:szCs w:val="21"/>
                <w:highlight w:val="none"/>
              </w:rPr>
              <w:t>芘</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193-39-5</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45</w:t>
            </w:r>
          </w:p>
        </w:tc>
        <w:tc>
          <w:tcPr>
            <w:tcW w:w="2197"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萘</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91-20-3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before="35" w:line="240" w:lineRule="auto"/>
              <w:ind w:left="0" w:leftChars="0" w:right="1" w:firstLine="0" w:firstLineChars="0"/>
              <w:jc w:val="center"/>
              <w:rPr>
                <w:rFonts w:hint="eastAsia" w:ascii="Times New Roman" w:hAnsi="Times New Roman" w:eastAsia="仿宋"/>
                <w:color w:val="FF0000"/>
                <w:sz w:val="21"/>
                <w:highlight w:val="none"/>
                <w:lang w:val="en-US" w:eastAsia="zh-CN"/>
              </w:rPr>
            </w:pPr>
            <w:r>
              <w:rPr>
                <w:rFonts w:hint="eastAsia" w:asciiTheme="minorEastAsia" w:hAnsiTheme="minorEastAsia" w:eastAsiaTheme="minorEastAsia" w:cstheme="minorEastAsia"/>
                <w:color w:val="FF0000"/>
                <w:sz w:val="21"/>
                <w:highlight w:val="none"/>
                <w:lang w:val="en-US" w:eastAsia="zh-CN"/>
              </w:rPr>
              <w:t>石油烃类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仿宋"/>
                <w:color w:val="FF0000"/>
                <w:sz w:val="21"/>
                <w:highlight w:val="none"/>
                <w:lang w:val="en-US" w:eastAsia="zh-CN"/>
              </w:rPr>
            </w:pPr>
            <w:r>
              <w:rPr>
                <w:rFonts w:hint="eastAsia"/>
                <w:color w:val="FF0000"/>
                <w:sz w:val="21"/>
                <w:highlight w:val="none"/>
                <w:lang w:val="en-US" w:eastAsia="zh-CN"/>
              </w:rPr>
              <w:t>46</w:t>
            </w:r>
          </w:p>
        </w:tc>
        <w:tc>
          <w:tcPr>
            <w:tcW w:w="2197" w:type="dxa"/>
            <w:tcBorders>
              <w:tl2br w:val="nil"/>
              <w:tr2bl w:val="nil"/>
            </w:tcBorders>
            <w:vAlign w:val="center"/>
          </w:tcPr>
          <w:p>
            <w:pPr>
              <w:pStyle w:val="118"/>
              <w:spacing w:line="261" w:lineRule="exact"/>
              <w:ind w:left="0" w:leftChars="0" w:right="0" w:firstLine="0" w:firstLineChars="0"/>
              <w:jc w:val="center"/>
              <w:rPr>
                <w:rFonts w:hint="eastAsia" w:ascii="Times New Roman" w:hAnsi="Times New Roman" w:eastAsia="宋体" w:cs="宋体"/>
                <w:color w:val="FF0000"/>
                <w:w w:val="99"/>
                <w:sz w:val="21"/>
                <w:szCs w:val="21"/>
                <w:highlight w:val="none"/>
                <w:lang w:val="en-US" w:eastAsia="zh-CN"/>
              </w:rPr>
            </w:pPr>
            <w:r>
              <w:rPr>
                <w:rFonts w:hint="eastAsia" w:eastAsia="宋体" w:cs="宋体"/>
                <w:color w:val="FF0000"/>
                <w:w w:val="99"/>
                <w:sz w:val="21"/>
                <w:szCs w:val="21"/>
                <w:highlight w:val="none"/>
                <w:lang w:val="en-US" w:eastAsia="zh-CN"/>
              </w:rPr>
              <w:t>石油类</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eastAsia" w:ascii="Times New Roman" w:hAnsi="Times New Roman" w:eastAsia="仿宋"/>
                <w:color w:val="FF0000"/>
                <w:sz w:val="21"/>
                <w:highlight w:val="none"/>
                <w:lang w:eastAsia="zh-CN"/>
              </w:rPr>
            </w:pPr>
            <w:r>
              <w:rPr>
                <w:rFonts w:hint="eastAsia"/>
                <w:color w:val="FF0000"/>
                <w:sz w:val="21"/>
                <w:highlight w:val="none"/>
                <w:lang w:eastAsia="zh-CN"/>
              </w:rPr>
              <w:t>——</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仿宋"/>
                <w:color w:val="FF0000"/>
                <w:sz w:val="21"/>
                <w:highlight w:val="none"/>
                <w:lang w:val="en-US" w:eastAsia="zh-CN"/>
              </w:rPr>
            </w:pPr>
            <w:r>
              <w:rPr>
                <w:rFonts w:hint="eastAsia"/>
                <w:color w:val="FF0000"/>
                <w:sz w:val="21"/>
                <w:highlight w:val="none"/>
                <w:lang w:val="en-US" w:eastAsia="zh-CN"/>
              </w:rPr>
              <w:t>4500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仿宋"/>
                <w:color w:val="FF0000"/>
                <w:sz w:val="21"/>
                <w:highlight w:val="none"/>
                <w:lang w:val="en-US" w:eastAsia="zh-CN"/>
              </w:rPr>
            </w:pPr>
            <w:r>
              <w:rPr>
                <w:rFonts w:hint="eastAsia"/>
                <w:color w:val="FF0000"/>
                <w:sz w:val="21"/>
                <w:highlight w:val="none"/>
                <w:lang w:val="en-US" w:eastAsia="zh-CN"/>
              </w:rPr>
              <w:t>9000</w:t>
            </w:r>
          </w:p>
        </w:tc>
      </w:tr>
    </w:tbl>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2.3.2.2 污染物排放标准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（1）大气污染物排放标准</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项目颗粒物排放执行《大气污染物综合排放标准》</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GB16297-1996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中新污染源二级标准。标准值见表</w:t>
      </w:r>
      <w:r>
        <w:rPr>
          <w:rFonts w:hint="eastAsia" w:ascii="Times New Roman" w:hAnsi="Times New Roman" w:eastAsia="宋体" w:cstheme="minorBidi"/>
          <w:color w:val="auto"/>
          <w:highlight w:val="none"/>
          <w:lang w:val="en-US" w:eastAsia="zh-CN"/>
        </w:rPr>
        <w:t>2.3-</w:t>
      </w:r>
      <w:r>
        <w:rPr>
          <w:rFonts w:hint="eastAsia" w:eastAsia="宋体" w:cstheme="minorBidi"/>
          <w:color w:val="auto"/>
          <w:highlight w:val="none"/>
          <w:lang w:val="en-US" w:eastAsia="zh-CN"/>
        </w:rPr>
        <w:t>4</w:t>
      </w:r>
      <w:r>
        <w:rPr>
          <w:rFonts w:hint="eastAsia" w:ascii="Times New Roman" w:hAnsi="Times New Roman" w:eastAsia="宋体" w:cstheme="minorBidi"/>
          <w:color w:val="auto"/>
          <w:highlight w:val="none"/>
        </w:rPr>
        <w:t>。</w:t>
      </w:r>
    </w:p>
    <w:p>
      <w:pPr>
        <w:spacing w:line="360" w:lineRule="auto"/>
        <w:ind w:left="0" w:leftChars="0" w:firstLine="0" w:firstLineChars="0"/>
        <w:jc w:val="center"/>
        <w:rPr>
          <w:rFonts w:hint="eastAsia"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w:t>
      </w:r>
      <w:r>
        <w:rPr>
          <w:rFonts w:hint="eastAsia" w:ascii="Times New Roman" w:hAnsi="Times New Roman" w:eastAsia="宋体" w:cstheme="minorBidi"/>
          <w:b/>
          <w:bCs/>
          <w:color w:val="auto"/>
          <w:highlight w:val="none"/>
          <w:lang w:val="en-US" w:eastAsia="zh-CN"/>
        </w:rPr>
        <w:t>2.3-</w:t>
      </w:r>
      <w:r>
        <w:rPr>
          <w:rFonts w:hint="eastAsia" w:eastAsia="宋体" w:cstheme="minorBidi"/>
          <w:b/>
          <w:bCs/>
          <w:color w:val="auto"/>
          <w:highlight w:val="none"/>
          <w:lang w:val="en-US" w:eastAsia="zh-CN"/>
        </w:rPr>
        <w:t>4</w:t>
      </w:r>
      <w:r>
        <w:rPr>
          <w:rFonts w:hint="eastAsia" w:ascii="Times New Roman" w:hAnsi="Times New Roman" w:eastAsia="宋体" w:cstheme="minorBidi"/>
          <w:b/>
          <w:bCs/>
          <w:color w:val="auto"/>
          <w:highlight w:val="none"/>
          <w:lang w:val="en-US" w:eastAsia="zh-CN"/>
        </w:rPr>
        <w:t xml:space="preserve"> </w:t>
      </w:r>
      <w:r>
        <w:rPr>
          <w:rFonts w:hint="eastAsia" w:ascii="Times New Roman" w:hAnsi="Times New Roman" w:eastAsia="宋体" w:cstheme="minorBidi"/>
          <w:b/>
          <w:bCs/>
          <w:color w:val="auto"/>
          <w:highlight w:val="none"/>
        </w:rPr>
        <w:tab/>
      </w:r>
      <w:r>
        <w:rPr>
          <w:rFonts w:hint="eastAsia" w:ascii="Times New Roman" w:hAnsi="Times New Roman" w:eastAsia="宋体" w:cstheme="minorBidi"/>
          <w:b/>
          <w:bCs/>
          <w:color w:val="auto"/>
          <w:highlight w:val="none"/>
        </w:rPr>
        <w:t>颗粒物污染物排放标准限值</w:t>
      </w:r>
      <w:r>
        <w:rPr>
          <w:rFonts w:hint="eastAsia" w:ascii="Times New Roman" w:hAnsi="Times New Roman" w:eastAsia="宋体" w:cstheme="minorBidi"/>
          <w:b/>
          <w:bCs/>
          <w:color w:val="auto"/>
          <w:highlight w:val="none"/>
        </w:rPr>
        <w:tab/>
      </w:r>
      <w:r>
        <w:rPr>
          <w:rFonts w:hint="eastAsia" w:ascii="Times New Roman" w:hAnsi="Times New Roman" w:eastAsia="宋体" w:cstheme="minorBidi"/>
          <w:b/>
          <w:bCs/>
          <w:color w:val="auto"/>
          <w:highlight w:val="none"/>
        </w:rPr>
        <w:t>单位：mg/m³</w:t>
      </w:r>
    </w:p>
    <w:tbl>
      <w:tblPr>
        <w:tblStyle w:val="35"/>
        <w:tblW w:w="8362" w:type="dxa"/>
        <w:tblInd w:w="18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7"/>
        <w:gridCol w:w="3589"/>
        <w:gridCol w:w="310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exact"/>
        </w:trPr>
        <w:tc>
          <w:tcPr>
            <w:tcW w:w="1667" w:type="dxa"/>
            <w:vMerge w:val="restart"/>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污染物</w:t>
            </w:r>
          </w:p>
        </w:tc>
        <w:tc>
          <w:tcPr>
            <w:tcW w:w="6695" w:type="dxa"/>
            <w:gridSpan w:val="2"/>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无组织排放监控限值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exact"/>
        </w:trPr>
        <w:tc>
          <w:tcPr>
            <w:tcW w:w="1667" w:type="dxa"/>
            <w:vMerge w:val="continue"/>
            <w:tcBorders>
              <w:tl2br w:val="nil"/>
              <w:tr2bl w:val="nil"/>
            </w:tcBorders>
            <w:vAlign w:val="center"/>
          </w:tcPr>
          <w:p>
            <w:pPr>
              <w:spacing w:line="360" w:lineRule="auto"/>
              <w:ind w:firstLine="480"/>
              <w:jc w:val="center"/>
              <w:rPr>
                <w:rFonts w:hint="eastAsia" w:ascii="Times New Roman" w:hAnsi="Times New Roman" w:eastAsia="宋体" w:cstheme="minorBidi"/>
                <w:color w:val="auto"/>
                <w:sz w:val="21"/>
                <w:szCs w:val="21"/>
                <w:highlight w:val="none"/>
              </w:rPr>
            </w:pPr>
          </w:p>
        </w:tc>
        <w:tc>
          <w:tcPr>
            <w:tcW w:w="3589"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监控点</w:t>
            </w:r>
          </w:p>
        </w:tc>
        <w:tc>
          <w:tcPr>
            <w:tcW w:w="3106"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浓度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exact"/>
        </w:trPr>
        <w:tc>
          <w:tcPr>
            <w:tcW w:w="1667"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颗粒物</w:t>
            </w:r>
          </w:p>
        </w:tc>
        <w:tc>
          <w:tcPr>
            <w:tcW w:w="3589"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周围外浓度最高点</w:t>
            </w:r>
          </w:p>
        </w:tc>
        <w:tc>
          <w:tcPr>
            <w:tcW w:w="3106"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1.0</w:t>
            </w:r>
          </w:p>
        </w:tc>
      </w:tr>
    </w:tbl>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废水</w:t>
      </w:r>
    </w:p>
    <w:p>
      <w:pPr>
        <w:spacing w:line="360" w:lineRule="auto"/>
        <w:ind w:firstLine="480"/>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本项目</w:t>
      </w:r>
      <w:r>
        <w:rPr>
          <w:rFonts w:hint="eastAsia" w:eastAsia="宋体" w:cstheme="minorBidi"/>
          <w:color w:val="auto"/>
          <w:highlight w:val="none"/>
          <w:lang w:val="en-US" w:eastAsia="zh-CN"/>
        </w:rPr>
        <w:t>废水</w:t>
      </w:r>
      <w:r>
        <w:rPr>
          <w:rFonts w:hint="eastAsia" w:ascii="Times New Roman" w:hAnsi="Times New Roman" w:eastAsia="宋体" w:cstheme="minorBidi"/>
          <w:color w:val="auto"/>
          <w:highlight w:val="none"/>
          <w:lang w:val="en-US" w:eastAsia="zh-CN"/>
        </w:rPr>
        <w:t>的排放执行《污水综合排放标准》（GB8978-1996）表4中的</w:t>
      </w:r>
      <w:r>
        <w:rPr>
          <w:rFonts w:hint="eastAsia" w:eastAsia="宋体" w:cstheme="minorBidi"/>
          <w:color w:val="auto"/>
          <w:highlight w:val="none"/>
          <w:lang w:val="en-US" w:eastAsia="zh-CN"/>
        </w:rPr>
        <w:t>三</w:t>
      </w:r>
      <w:r>
        <w:rPr>
          <w:rFonts w:hint="eastAsia" w:ascii="Times New Roman" w:hAnsi="Times New Roman" w:eastAsia="宋体" w:cstheme="minorBidi"/>
          <w:color w:val="auto"/>
          <w:highlight w:val="none"/>
          <w:lang w:val="en-US" w:eastAsia="zh-CN"/>
        </w:rPr>
        <w:t>级标准，具体数值见表2.3-</w:t>
      </w:r>
      <w:r>
        <w:rPr>
          <w:rFonts w:hint="eastAsia" w:eastAsia="宋体" w:cstheme="minorBidi"/>
          <w:color w:val="auto"/>
          <w:highlight w:val="none"/>
          <w:lang w:val="en-US" w:eastAsia="zh-CN"/>
        </w:rPr>
        <w:t>5。</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表2.3-</w:t>
      </w:r>
      <w:r>
        <w:rPr>
          <w:rFonts w:hint="eastAsia" w:eastAsia="宋体" w:cstheme="minorBidi"/>
          <w:b/>
          <w:bCs/>
          <w:color w:val="auto"/>
          <w:highlight w:val="none"/>
          <w:lang w:val="en-US" w:eastAsia="zh-CN"/>
        </w:rPr>
        <w:t>5</w:t>
      </w:r>
      <w:r>
        <w:rPr>
          <w:rFonts w:hint="eastAsia" w:ascii="Times New Roman" w:hAnsi="Times New Roman" w:eastAsia="宋体" w:cstheme="minorBidi"/>
          <w:b/>
          <w:bCs/>
          <w:color w:val="auto"/>
          <w:highlight w:val="none"/>
          <w:lang w:val="en-US" w:eastAsia="zh-CN"/>
        </w:rPr>
        <w:t xml:space="preserve">  污水综合排放标准   单位：mg/L（pH除外）</w:t>
      </w:r>
    </w:p>
    <w:tbl>
      <w:tblPr>
        <w:tblStyle w:val="35"/>
        <w:tblW w:w="0" w:type="auto"/>
        <w:tblInd w:w="1" w:type="dxa"/>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2069"/>
        <w:gridCol w:w="2070"/>
        <w:gridCol w:w="2070"/>
        <w:gridCol w:w="2070"/>
      </w:tblGrid>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1"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污染物</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标准限值</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污染物</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标准限值</w:t>
            </w:r>
          </w:p>
        </w:tc>
      </w:tr>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pH</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6~9</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COD</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5</w:t>
            </w:r>
            <w:r>
              <w:rPr>
                <w:rFonts w:hint="eastAsia" w:ascii="Times New Roman" w:hAnsi="Times New Roman" w:eastAsia="宋体" w:cstheme="minorBidi"/>
                <w:color w:val="auto"/>
                <w:sz w:val="21"/>
                <w:szCs w:val="21"/>
                <w:highlight w:val="none"/>
                <w:lang w:val="en-US" w:eastAsia="zh-CN"/>
              </w:rPr>
              <w:t>00</w:t>
            </w:r>
          </w:p>
        </w:tc>
      </w:tr>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BOD</w:t>
            </w:r>
            <w:r>
              <w:rPr>
                <w:rFonts w:hint="eastAsia" w:ascii="Times New Roman" w:hAnsi="Times New Roman" w:eastAsia="宋体" w:cstheme="minorBidi"/>
                <w:color w:val="auto"/>
                <w:sz w:val="21"/>
                <w:szCs w:val="21"/>
                <w:highlight w:val="none"/>
                <w:vertAlign w:val="subscript"/>
                <w:lang w:val="en-US" w:eastAsia="zh-CN"/>
              </w:rPr>
              <w:t>5</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300</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SS</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400</w:t>
            </w:r>
          </w:p>
        </w:tc>
      </w:tr>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33"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氨氮</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动植物油</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100</w:t>
            </w:r>
          </w:p>
        </w:tc>
      </w:tr>
    </w:tbl>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rPr>
        <w:t>）噪声排放标准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施工期噪声执行《建筑施工场界环境噪声排放标准》（GB12523-2011）表1中限值；运营期厂界噪声执行《工业企业厂界环境噪声排放标准》（GB12348-2008）表1中</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rPr>
        <w:t>类标准，表2.3-</w:t>
      </w:r>
      <w:r>
        <w:rPr>
          <w:rFonts w:hint="eastAsia" w:eastAsia="宋体" w:cstheme="minorBidi"/>
          <w:color w:val="auto"/>
          <w:highlight w:val="none"/>
          <w:lang w:val="en-US" w:eastAsia="zh-CN"/>
        </w:rPr>
        <w:t>6</w:t>
      </w:r>
      <w:r>
        <w:rPr>
          <w:rFonts w:hint="eastAsia" w:ascii="Times New Roman" w:hAnsi="Times New Roman" w:eastAsia="宋体" w:cstheme="minorBidi"/>
          <w:color w:val="auto"/>
          <w:highlight w:val="none"/>
        </w:rPr>
        <w:t>、表2.3-</w:t>
      </w:r>
      <w:r>
        <w:rPr>
          <w:rFonts w:hint="eastAsia" w:eastAsia="宋体" w:cstheme="minorBidi"/>
          <w:color w:val="auto"/>
          <w:highlight w:val="none"/>
          <w:lang w:val="en-US" w:eastAsia="zh-CN"/>
        </w:rPr>
        <w:t>7</w:t>
      </w:r>
      <w:r>
        <w:rPr>
          <w:rFonts w:hint="eastAsia" w:ascii="Times New Roman" w:hAnsi="Times New Roman" w:eastAsia="宋体" w:cstheme="minorBidi"/>
          <w:color w:val="auto"/>
          <w:highlight w:val="none"/>
        </w:rPr>
        <w:t>。</w:t>
      </w:r>
    </w:p>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表2.3-</w:t>
      </w:r>
      <w:r>
        <w:rPr>
          <w:rFonts w:hint="eastAsia" w:eastAsia="宋体"/>
          <w:b/>
          <w:bCs/>
          <w:color w:val="auto"/>
          <w:highlight w:val="none"/>
          <w:lang w:val="en-US" w:eastAsia="zh-CN"/>
        </w:rPr>
        <w:t>6</w:t>
      </w:r>
      <w:r>
        <w:rPr>
          <w:rFonts w:hint="eastAsia" w:ascii="Times New Roman" w:hAnsi="Times New Roman" w:eastAsia="宋体"/>
          <w:b/>
          <w:bCs/>
          <w:color w:val="auto"/>
          <w:highlight w:val="none"/>
        </w:rPr>
        <w:t xml:space="preserve">   建筑施工场界环境噪声排放限值</w:t>
      </w:r>
    </w:p>
    <w:tbl>
      <w:tblPr>
        <w:tblStyle w:val="35"/>
        <w:tblW w:w="850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7"/>
        <w:gridCol w:w="449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8505" w:type="dxa"/>
            <w:gridSpan w:val="2"/>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噪声限值dB（A）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7"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昼间</w:t>
            </w:r>
          </w:p>
        </w:tc>
        <w:tc>
          <w:tcPr>
            <w:tcW w:w="4498"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夜间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4007"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70</w:t>
            </w:r>
          </w:p>
        </w:tc>
        <w:tc>
          <w:tcPr>
            <w:tcW w:w="4498"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55</w:t>
            </w:r>
          </w:p>
        </w:tc>
      </w:tr>
    </w:tbl>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表2.3-</w:t>
      </w:r>
      <w:r>
        <w:rPr>
          <w:rFonts w:hint="eastAsia" w:eastAsia="宋体"/>
          <w:b/>
          <w:bCs/>
          <w:color w:val="auto"/>
          <w:highlight w:val="none"/>
          <w:lang w:val="en-US" w:eastAsia="zh-CN"/>
        </w:rPr>
        <w:t>7</w:t>
      </w:r>
      <w:r>
        <w:rPr>
          <w:rFonts w:hint="eastAsia" w:ascii="Times New Roman" w:hAnsi="Times New Roman" w:eastAsia="宋体"/>
          <w:b/>
          <w:bCs/>
          <w:color w:val="auto"/>
          <w:highlight w:val="none"/>
        </w:rPr>
        <w:t xml:space="preserve">  工业企业厂界环境噪声排放限值</w:t>
      </w:r>
    </w:p>
    <w:tbl>
      <w:tblPr>
        <w:tblStyle w:val="35"/>
        <w:tblW w:w="850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3341"/>
        <w:gridCol w:w="27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389"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类别</w:t>
            </w:r>
          </w:p>
        </w:tc>
        <w:tc>
          <w:tcPr>
            <w:tcW w:w="3341"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昼间[dB（A）]</w:t>
            </w:r>
          </w:p>
        </w:tc>
        <w:tc>
          <w:tcPr>
            <w:tcW w:w="2775"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夜间[dB（A）]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89"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lang w:val="en-US" w:eastAsia="zh-CN"/>
              </w:rPr>
              <w:t>2</w:t>
            </w:r>
            <w:r>
              <w:rPr>
                <w:rFonts w:hint="eastAsia" w:ascii="Times New Roman" w:hAnsi="Times New Roman" w:eastAsia="宋体" w:cstheme="minorBidi"/>
                <w:color w:val="auto"/>
                <w:sz w:val="21"/>
                <w:highlight w:val="none"/>
              </w:rPr>
              <w:t>类</w:t>
            </w:r>
          </w:p>
        </w:tc>
        <w:tc>
          <w:tcPr>
            <w:tcW w:w="3341" w:type="dxa"/>
            <w:tcBorders>
              <w:tl2br w:val="nil"/>
              <w:tr2bl w:val="nil"/>
            </w:tcBorders>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6</w:t>
            </w:r>
            <w:r>
              <w:rPr>
                <w:rFonts w:hint="eastAsia" w:ascii="Times New Roman" w:hAnsi="Times New Roman" w:eastAsia="宋体" w:cstheme="minorBidi"/>
                <w:color w:val="auto"/>
                <w:sz w:val="21"/>
                <w:highlight w:val="none"/>
                <w:lang w:val="en-US" w:eastAsia="zh-CN"/>
              </w:rPr>
              <w:t>0</w:t>
            </w:r>
          </w:p>
        </w:tc>
        <w:tc>
          <w:tcPr>
            <w:tcW w:w="2775" w:type="dxa"/>
            <w:tcBorders>
              <w:tl2br w:val="nil"/>
              <w:tr2bl w:val="nil"/>
            </w:tcBorders>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5</w:t>
            </w:r>
            <w:r>
              <w:rPr>
                <w:rFonts w:hint="eastAsia" w:ascii="Times New Roman" w:hAnsi="Times New Roman" w:eastAsia="宋体" w:cstheme="minorBidi"/>
                <w:color w:val="auto"/>
                <w:sz w:val="21"/>
                <w:highlight w:val="none"/>
                <w:lang w:val="en-US" w:eastAsia="zh-CN"/>
              </w:rPr>
              <w:t>0</w:t>
            </w:r>
          </w:p>
        </w:tc>
      </w:tr>
    </w:tbl>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4</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固体废物排放标准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一般固废执行《一般工业固体废物贮存</w:t>
      </w:r>
      <w:r>
        <w:rPr>
          <w:rFonts w:hint="eastAsia" w:eastAsia="宋体" w:cstheme="minorBidi"/>
          <w:color w:val="auto"/>
          <w:highlight w:val="none"/>
          <w:lang w:val="en-US" w:eastAsia="zh-CN"/>
        </w:rPr>
        <w:t>和填埋</w:t>
      </w:r>
      <w:r>
        <w:rPr>
          <w:rFonts w:hint="eastAsia" w:ascii="Times New Roman" w:hAnsi="Times New Roman" w:eastAsia="宋体" w:cstheme="minorBidi"/>
          <w:color w:val="auto"/>
          <w:highlight w:val="none"/>
        </w:rPr>
        <w:t>污染控制标准》（GB18599-20</w:t>
      </w:r>
      <w:r>
        <w:rPr>
          <w:rFonts w:hint="eastAsia" w:eastAsia="宋体" w:cstheme="minorBidi"/>
          <w:color w:val="auto"/>
          <w:highlight w:val="none"/>
          <w:lang w:val="en-US" w:eastAsia="zh-CN"/>
        </w:rPr>
        <w:t>20</w:t>
      </w:r>
      <w:r>
        <w:rPr>
          <w:rFonts w:hint="eastAsia" w:ascii="Times New Roman" w:hAnsi="Times New Roman" w:eastAsia="宋体" w:cstheme="minorBidi"/>
          <w:color w:val="auto"/>
          <w:highlight w:val="none"/>
        </w:rPr>
        <w:t>）中相关要求。</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42" w:name="_Toc27052"/>
      <w:bookmarkStart w:id="43" w:name="_Toc8051028"/>
      <w:bookmarkStart w:id="44" w:name="_Toc2026547"/>
      <w:r>
        <w:rPr>
          <w:rFonts w:hint="eastAsia" w:ascii="Times New Roman" w:hAnsi="Times New Roman" w:eastAsia="宋体"/>
          <w:b/>
          <w:bCs w:val="0"/>
          <w:color w:val="auto"/>
          <w:highlight w:val="none"/>
        </w:rPr>
        <w:t>2.4 评价内容及评价重点</w:t>
      </w:r>
      <w:bookmarkEnd w:id="42"/>
      <w:bookmarkEnd w:id="43"/>
      <w:bookmarkEnd w:id="4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45" w:name="_Toc2026548"/>
      <w:bookmarkStart w:id="46" w:name="_Toc10133"/>
      <w:bookmarkStart w:id="47" w:name="_Toc8051029"/>
      <w:r>
        <w:rPr>
          <w:rFonts w:hint="eastAsia" w:ascii="Times New Roman" w:hAnsi="Times New Roman" w:eastAsia="宋体"/>
          <w:b/>
          <w:bCs w:val="0"/>
          <w:color w:val="auto"/>
          <w:sz w:val="30"/>
          <w:highlight w:val="none"/>
        </w:rPr>
        <w:t>2.4.1 评价内容</w:t>
      </w:r>
      <w:bookmarkEnd w:id="45"/>
      <w:bookmarkEnd w:id="46"/>
      <w:bookmarkEnd w:id="47"/>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根据工程建设特点及区域环境特征，确定本次环境影响评价的主要内容为：</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介绍拟建项目建设概况，进行工程分析，核算本工程各污染物排放量。</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对项目所在区域的环境质量现状进行监测与评价。</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针对拟建项目特点及排污特点，提出经济合理、技术可行的污染防治措施，使拟建项目建设可能对周围环境产生的不利影响降低到最小。</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4</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预测拟建项目投产后所排污染物对评价区环境质量产生影响的范围和程度，评价环境影响可接受程度，综合分析拟建项目选址的合理性。</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5</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分析本项目物质和工艺系统的危险性和环境敏感性。</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对项目的环境经济损益进行简要分析，提出相应的环境管理计划与环境监测计划。</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48" w:name="_Toc2026549"/>
      <w:bookmarkStart w:id="49" w:name="_Toc8051030"/>
      <w:bookmarkStart w:id="50" w:name="_Toc17056"/>
      <w:r>
        <w:rPr>
          <w:rFonts w:hint="eastAsia" w:ascii="Times New Roman" w:hAnsi="Times New Roman" w:eastAsia="宋体"/>
          <w:b/>
          <w:bCs w:val="0"/>
          <w:color w:val="auto"/>
          <w:sz w:val="30"/>
          <w:highlight w:val="none"/>
        </w:rPr>
        <w:t>2.4.2 评价重点</w:t>
      </w:r>
      <w:bookmarkEnd w:id="48"/>
      <w:bookmarkEnd w:id="49"/>
      <w:bookmarkEnd w:id="50"/>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项目所在区域环境特征和工程污染物排放及其环境影响，本项目评价内容包括工程分析、污染防治措施、大气环境影响评价、水环境影响评价、声环境影响评价、环境风险评价和项目选址的合理性分析等。评价重点确定为工程分析、污染防治措施、环境空气影响评价和水环境影响评价。</w:t>
      </w:r>
    </w:p>
    <w:p>
      <w:pPr>
        <w:spacing w:line="360" w:lineRule="auto"/>
        <w:ind w:left="0" w:leftChars="0" w:firstLine="0" w:firstLineChars="0"/>
        <w:rPr>
          <w:rFonts w:hint="default" w:ascii="Times New Roman" w:hAnsi="Times New Roman" w:eastAsia="宋体" w:cs="Times New Roman"/>
          <w:b/>
          <w:bCs w:val="0"/>
          <w:color w:val="auto"/>
          <w:kern w:val="2"/>
          <w:sz w:val="32"/>
          <w:szCs w:val="32"/>
          <w:highlight w:val="none"/>
          <w:lang w:val="en-US" w:eastAsia="zh-CN" w:bidi="ar-SA"/>
        </w:rPr>
      </w:pPr>
      <w:r>
        <w:rPr>
          <w:rFonts w:hint="eastAsia" w:ascii="Times New Roman" w:hAnsi="Times New Roman" w:eastAsia="宋体" w:cs="Times New Roman"/>
          <w:b/>
          <w:bCs w:val="0"/>
          <w:color w:val="auto"/>
          <w:kern w:val="2"/>
          <w:sz w:val="32"/>
          <w:szCs w:val="32"/>
          <w:highlight w:val="none"/>
          <w:lang w:val="en-US" w:eastAsia="zh-CN" w:bidi="ar-SA"/>
        </w:rPr>
        <w:t>2.5 环境影响因子的识别与评价因子筛选</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根据项目性质，判别在不同阶段对环境产生影响的因素和程度，确定施工和 运营期可能产生的主要环境问题，并筛选出主要评价因子，为预测评价提供依据。</w:t>
      </w:r>
    </w:p>
    <w:p>
      <w:pPr>
        <w:spacing w:line="360" w:lineRule="auto"/>
        <w:ind w:left="0" w:leftChars="0" w:firstLine="0" w:firstLineChars="0"/>
        <w:rPr>
          <w:rFonts w:hint="eastAsia" w:ascii="Times New Roman" w:hAnsi="Times New Roman" w:eastAsia="宋体" w:cstheme="minorBidi"/>
          <w:color w:val="auto"/>
          <w:highlight w:val="none"/>
          <w:lang w:val="en-US" w:eastAsia="zh-CN"/>
        </w:rPr>
      </w:pPr>
      <w:r>
        <w:rPr>
          <w:rFonts w:hint="eastAsia" w:ascii="Times New Roman" w:hAnsi="Times New Roman" w:eastAsia="宋体"/>
          <w:b/>
          <w:bCs w:val="0"/>
          <w:color w:val="auto"/>
          <w:sz w:val="30"/>
          <w:highlight w:val="none"/>
        </w:rPr>
        <w:t>2.5.1</w:t>
      </w:r>
      <w:r>
        <w:rPr>
          <w:rFonts w:hint="eastAsia" w:ascii="Times New Roman" w:hAnsi="Times New Roman" w:eastAsia="宋体"/>
          <w:b/>
          <w:bCs w:val="0"/>
          <w:color w:val="auto"/>
          <w:sz w:val="30"/>
          <w:highlight w:val="none"/>
          <w:lang w:val="en-US" w:eastAsia="zh-CN"/>
        </w:rPr>
        <w:t xml:space="preserve"> 工程排污特征分析</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根据生产过程中各工序污染物分析，确定本项目的主要污染物见表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rPr>
        <w:t>-1。</w:t>
      </w:r>
    </w:p>
    <w:p>
      <w:pPr>
        <w:spacing w:line="360" w:lineRule="auto"/>
        <w:ind w:left="0" w:leftChars="0" w:firstLine="0" w:firstLineChars="0"/>
        <w:jc w:val="center"/>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b/>
          <w:bCs/>
          <w:color w:val="auto"/>
          <w:highlight w:val="none"/>
          <w:lang w:val="en-US" w:eastAsia="zh-CN"/>
        </w:rPr>
        <w:t xml:space="preserve">表2.5-1 </w:t>
      </w:r>
      <w:r>
        <w:rPr>
          <w:rFonts w:hint="default" w:ascii="Times New Roman" w:hAnsi="Times New Roman" w:eastAsia="宋体" w:cs="宋体"/>
          <w:b/>
          <w:bCs/>
          <w:sz w:val="24"/>
          <w:szCs w:val="24"/>
          <w:highlight w:val="none"/>
        </w:rPr>
        <w:t>项目主要污染物排放一览表</w:t>
      </w:r>
    </w:p>
    <w:tbl>
      <w:tblPr>
        <w:tblStyle w:val="35"/>
        <w:tblW w:w="852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4441"/>
        <w:gridCol w:w="284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exact"/>
          <w:jc w:val="center"/>
        </w:trPr>
        <w:tc>
          <w:tcPr>
            <w:tcW w:w="1240" w:type="dxa"/>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宋体" w:cs="宋体"/>
                <w:sz w:val="21"/>
                <w:szCs w:val="21"/>
                <w:highlight w:val="none"/>
              </w:rPr>
              <w:t>污染类别</w:t>
            </w: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污染源名称</w:t>
            </w:r>
          </w:p>
        </w:tc>
        <w:tc>
          <w:tcPr>
            <w:tcW w:w="2841" w:type="dxa"/>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宋体" w:cs="宋体"/>
                <w:sz w:val="21"/>
                <w:szCs w:val="21"/>
                <w:highlight w:val="none"/>
              </w:rPr>
              <w:t>主要污染物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exact"/>
          <w:jc w:val="center"/>
        </w:trPr>
        <w:tc>
          <w:tcPr>
            <w:tcW w:w="1240" w:type="dxa"/>
            <w:vMerge w:val="restart"/>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宋体" w:cs="宋体"/>
                <w:sz w:val="21"/>
                <w:szCs w:val="21"/>
                <w:highlight w:val="none"/>
              </w:rPr>
              <w:t>废气</w:t>
            </w: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采矿粉尘</w:t>
            </w:r>
          </w:p>
        </w:tc>
        <w:tc>
          <w:tcPr>
            <w:tcW w:w="2841" w:type="dxa"/>
            <w:vMerge w:val="restart"/>
            <w:tcBorders>
              <w:tl2br w:val="nil"/>
              <w:tr2bl w:val="nil"/>
            </w:tcBorders>
            <w:vAlign w:val="center"/>
          </w:tcPr>
          <w:p>
            <w:pPr>
              <w:ind w:left="0" w:leftChars="0" w:firstLine="0" w:firstLineChars="0"/>
              <w:jc w:val="center"/>
              <w:rPr>
                <w:rFonts w:hint="default" w:ascii="Times New Roman" w:hAnsi="Times New Roman" w:eastAsia="仿宋"/>
                <w:highlight w:val="none"/>
                <w:lang w:val="en-US" w:eastAsia="zh-CN"/>
              </w:rPr>
            </w:pPr>
            <w:r>
              <w:rPr>
                <w:rFonts w:ascii="Times New Roman" w:hAnsi="Times New Roman"/>
                <w:sz w:val="21"/>
                <w:highlight w:val="none"/>
              </w:rPr>
              <w:t>TSP</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eastAsia" w:eastAsia="宋体" w:cs="宋体"/>
                <w:sz w:val="21"/>
                <w:szCs w:val="21"/>
                <w:highlight w:val="none"/>
                <w:lang w:val="en-US" w:eastAsia="zh-CN"/>
              </w:rPr>
              <w:t>原料砂堆场</w:t>
            </w:r>
            <w:r>
              <w:rPr>
                <w:rFonts w:hint="default" w:ascii="Times New Roman" w:hAnsi="Times New Roman" w:eastAsia="宋体" w:cs="宋体"/>
                <w:sz w:val="21"/>
                <w:szCs w:val="21"/>
                <w:highlight w:val="none"/>
              </w:rPr>
              <w:t>扬尘</w:t>
            </w:r>
          </w:p>
        </w:tc>
        <w:tc>
          <w:tcPr>
            <w:tcW w:w="2841" w:type="dxa"/>
            <w:vMerge w:val="continue"/>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eastAsia" w:eastAsia="宋体" w:cs="宋体"/>
                <w:sz w:val="21"/>
                <w:szCs w:val="21"/>
                <w:highlight w:val="none"/>
                <w:lang w:val="en-US" w:eastAsia="zh-CN"/>
              </w:rPr>
              <w:t>成品</w:t>
            </w:r>
            <w:r>
              <w:rPr>
                <w:rFonts w:hint="default" w:ascii="Times New Roman" w:hAnsi="Times New Roman" w:eastAsia="宋体" w:cs="宋体"/>
                <w:sz w:val="21"/>
                <w:szCs w:val="21"/>
                <w:highlight w:val="none"/>
              </w:rPr>
              <w:t>堆场扬尘</w:t>
            </w:r>
          </w:p>
        </w:tc>
        <w:tc>
          <w:tcPr>
            <w:tcW w:w="2841" w:type="dxa"/>
            <w:vMerge w:val="continue"/>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运输道路扬尘</w:t>
            </w:r>
          </w:p>
        </w:tc>
        <w:tc>
          <w:tcPr>
            <w:tcW w:w="2841" w:type="dxa"/>
            <w:vMerge w:val="continue"/>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废水</w:t>
            </w:r>
          </w:p>
        </w:tc>
        <w:tc>
          <w:tcPr>
            <w:tcW w:w="4441"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生活污水</w:t>
            </w:r>
          </w:p>
        </w:tc>
        <w:tc>
          <w:tcPr>
            <w:tcW w:w="2841" w:type="dxa"/>
            <w:tcBorders>
              <w:tl2br w:val="nil"/>
              <w:tr2bl w:val="nil"/>
            </w:tcBorders>
            <w:vAlign w:val="center"/>
          </w:tcPr>
          <w:p>
            <w:pPr>
              <w:pStyle w:val="118"/>
              <w:spacing w:line="278"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position w:val="2"/>
                <w:sz w:val="21"/>
                <w:szCs w:val="21"/>
                <w:highlight w:val="none"/>
              </w:rPr>
              <w:t>COD</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BOD</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NH</w:t>
            </w:r>
            <w:r>
              <w:rPr>
                <w:rFonts w:hint="default" w:ascii="Times New Roman" w:hAnsi="Times New Roman" w:eastAsia="Times New Roman" w:cs="Times New Roman"/>
                <w:sz w:val="13"/>
                <w:szCs w:val="13"/>
                <w:highlight w:val="none"/>
              </w:rPr>
              <w:t>3</w:t>
            </w:r>
            <w:r>
              <w:rPr>
                <w:rFonts w:hint="default" w:ascii="Times New Roman" w:hAnsi="Times New Roman" w:eastAsia="Times New Roman" w:cs="Times New Roman"/>
                <w:position w:val="2"/>
                <w:sz w:val="21"/>
                <w:szCs w:val="21"/>
                <w:highlight w:val="none"/>
              </w:rPr>
              <w:t>-N</w:t>
            </w:r>
            <w:r>
              <w:rPr>
                <w:rFonts w:hint="default" w:ascii="Times New Roman" w:hAnsi="Times New Roman" w:eastAsia="宋体" w:cs="宋体"/>
                <w:position w:val="2"/>
                <w:sz w:val="21"/>
                <w:szCs w:val="21"/>
                <w:highlight w:val="none"/>
              </w:rPr>
              <w:t>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2" w:lineRule="exact"/>
              <w:ind w:left="0" w:leftChars="0" w:right="1" w:firstLine="0" w:firstLineChars="0"/>
              <w:jc w:val="center"/>
              <w:rPr>
                <w:rFonts w:hint="eastAsia" w:ascii="Times New Roman" w:hAnsi="Times New Roman" w:eastAsia="宋体" w:cs="宋体"/>
                <w:sz w:val="21"/>
                <w:szCs w:val="21"/>
                <w:highlight w:val="none"/>
                <w:lang w:eastAsia="zh-CN"/>
              </w:rPr>
            </w:pPr>
            <w:r>
              <w:rPr>
                <w:rFonts w:hint="eastAsia" w:eastAsia="宋体" w:cs="宋体"/>
                <w:sz w:val="21"/>
                <w:szCs w:val="21"/>
                <w:highlight w:val="none"/>
                <w:lang w:val="en-US" w:eastAsia="zh-CN"/>
              </w:rPr>
              <w:t>洗砂废水</w:t>
            </w:r>
          </w:p>
        </w:tc>
        <w:tc>
          <w:tcPr>
            <w:tcW w:w="2841" w:type="dxa"/>
            <w:tcBorders>
              <w:tl2br w:val="nil"/>
              <w:tr2bl w:val="nil"/>
            </w:tcBorders>
            <w:vAlign w:val="center"/>
          </w:tcPr>
          <w:p>
            <w:pPr>
              <w:pStyle w:val="118"/>
              <w:spacing w:before="36"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SS</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固废</w:t>
            </w:r>
          </w:p>
        </w:tc>
        <w:tc>
          <w:tcPr>
            <w:tcW w:w="4441"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采矿废石</w:t>
            </w:r>
          </w:p>
        </w:tc>
        <w:tc>
          <w:tcPr>
            <w:tcW w:w="2841"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废石</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生活垃圾</w:t>
            </w:r>
          </w:p>
        </w:tc>
        <w:tc>
          <w:tcPr>
            <w:tcW w:w="2841"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废纸、食物残渣等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沉淀池底泥</w:t>
            </w:r>
          </w:p>
        </w:tc>
        <w:tc>
          <w:tcPr>
            <w:tcW w:w="28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泥沙</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噪声</w:t>
            </w:r>
          </w:p>
        </w:tc>
        <w:tc>
          <w:tcPr>
            <w:tcW w:w="4441" w:type="dxa"/>
            <w:tcBorders>
              <w:tl2br w:val="nil"/>
              <w:tr2bl w:val="nil"/>
            </w:tcBorders>
            <w:vAlign w:val="center"/>
          </w:tcPr>
          <w:p>
            <w:pPr>
              <w:pStyle w:val="118"/>
              <w:spacing w:line="262"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生产工段及运输</w:t>
            </w:r>
          </w:p>
        </w:tc>
        <w:tc>
          <w:tcPr>
            <w:tcW w:w="2841" w:type="dxa"/>
            <w:tcBorders>
              <w:tl2br w:val="nil"/>
              <w:tr2bl w:val="nil"/>
            </w:tcBorders>
            <w:vAlign w:val="center"/>
          </w:tcPr>
          <w:p>
            <w:pPr>
              <w:pStyle w:val="118"/>
              <w:spacing w:line="278"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等效连续</w:t>
            </w:r>
            <w:r>
              <w:rPr>
                <w:rFonts w:hint="default" w:ascii="Times New Roman" w:hAnsi="Times New Roman" w:eastAsia="宋体" w:cs="宋体"/>
                <w:spacing w:val="-54"/>
                <w:sz w:val="21"/>
                <w:szCs w:val="21"/>
                <w:highlight w:val="none"/>
              </w:rPr>
              <w:t xml:space="preserve"> </w:t>
            </w:r>
            <w:r>
              <w:rPr>
                <w:rFonts w:hint="default" w:ascii="Times New Roman" w:hAnsi="Times New Roman" w:eastAsia="Times New Roman" w:cs="Times New Roman"/>
                <w:sz w:val="21"/>
                <w:szCs w:val="21"/>
                <w:highlight w:val="none"/>
              </w:rPr>
              <w:t>A</w:t>
            </w:r>
            <w:r>
              <w:rPr>
                <w:rFonts w:hint="default" w:ascii="Times New Roman" w:hAnsi="Times New Roman" w:eastAsia="Times New Roman" w:cs="Times New Roman"/>
                <w:spacing w:val="-4"/>
                <w:sz w:val="21"/>
                <w:szCs w:val="21"/>
                <w:highlight w:val="none"/>
              </w:rPr>
              <w:t xml:space="preserve"> </w:t>
            </w:r>
            <w:r>
              <w:rPr>
                <w:rFonts w:hint="default" w:ascii="Times New Roman" w:hAnsi="Times New Roman" w:eastAsia="宋体" w:cs="宋体"/>
                <w:sz w:val="21"/>
                <w:szCs w:val="21"/>
                <w:highlight w:val="none"/>
              </w:rPr>
              <w:t>声级</w:t>
            </w:r>
          </w:p>
        </w:tc>
      </w:tr>
    </w:tbl>
    <w:p>
      <w:pPr>
        <w:spacing w:line="360" w:lineRule="auto"/>
        <w:ind w:left="0" w:leftChars="0" w:firstLine="0" w:firstLineChars="0"/>
        <w:rPr>
          <w:rFonts w:hint="eastAsia" w:ascii="Times New Roman" w:hAnsi="Times New Roman" w:eastAsia="宋体"/>
          <w:b/>
          <w:bCs w:val="0"/>
          <w:color w:val="auto"/>
          <w:sz w:val="30"/>
          <w:highlight w:val="none"/>
        </w:rPr>
      </w:pPr>
      <w:r>
        <w:rPr>
          <w:rFonts w:hint="eastAsia" w:ascii="Times New Roman" w:hAnsi="Times New Roman" w:eastAsia="宋体"/>
          <w:b/>
          <w:bCs w:val="0"/>
          <w:color w:val="auto"/>
          <w:sz w:val="30"/>
          <w:highlight w:val="none"/>
          <w:lang w:val="en-US" w:eastAsia="zh-CN"/>
        </w:rPr>
        <w:t>2.5</w:t>
      </w:r>
      <w:r>
        <w:rPr>
          <w:rFonts w:hint="eastAsia" w:ascii="Times New Roman" w:hAnsi="Times New Roman" w:eastAsia="宋体"/>
          <w:b/>
          <w:bCs w:val="0"/>
          <w:color w:val="auto"/>
          <w:sz w:val="30"/>
          <w:highlight w:val="none"/>
        </w:rPr>
        <w:t>.2 环境影响评价因子识别</w:t>
      </w:r>
    </w:p>
    <w:p>
      <w:pPr>
        <w:spacing w:line="360" w:lineRule="auto"/>
        <w:ind w:left="0" w:leftChars="0" w:firstLine="480" w:firstLineChars="20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根据生产运营期对环境影响分析及区域环境制约因素分析结果，结合工程分 析，给出项目建设与生产运营期对环境影响的性质分析，环境影响因子识别矩阵 一览表见表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rPr>
        <w:t>-2所示</w:t>
      </w:r>
    </w:p>
    <w:p>
      <w:pPr>
        <w:spacing w:line="360" w:lineRule="auto"/>
        <w:ind w:left="0" w:leftChars="0" w:firstLine="0" w:firstLineChars="0"/>
        <w:jc w:val="center"/>
        <w:rPr>
          <w:rFonts w:hint="eastAsia" w:ascii="Times New Roman" w:hAnsi="Times New Roman" w:eastAsia="宋体" w:cstheme="minorBidi"/>
          <w:b/>
          <w:bCs/>
          <w:color w:val="auto"/>
          <w:highlight w:val="none"/>
          <w:lang w:eastAsia="zh-CN"/>
        </w:rPr>
      </w:pPr>
      <w:r>
        <w:rPr>
          <w:rFonts w:hint="eastAsia" w:ascii="Times New Roman" w:hAnsi="Times New Roman" w:eastAsia="宋体" w:cstheme="minorBidi"/>
          <w:b/>
          <w:bCs/>
          <w:color w:val="auto"/>
          <w:highlight w:val="none"/>
          <w:lang w:eastAsia="zh-CN"/>
        </w:rPr>
        <w:t>表</w:t>
      </w:r>
      <w:r>
        <w:rPr>
          <w:rFonts w:hint="eastAsia" w:ascii="Times New Roman" w:hAnsi="Times New Roman" w:eastAsia="宋体" w:cstheme="minorBidi"/>
          <w:b/>
          <w:bCs/>
          <w:color w:val="auto"/>
          <w:highlight w:val="none"/>
          <w:lang w:val="en-US" w:eastAsia="zh-CN"/>
        </w:rPr>
        <w:t>2.5</w:t>
      </w:r>
      <w:r>
        <w:rPr>
          <w:rFonts w:hint="eastAsia" w:ascii="Times New Roman" w:hAnsi="Times New Roman" w:eastAsia="宋体" w:cstheme="minorBidi"/>
          <w:b/>
          <w:bCs/>
          <w:color w:val="auto"/>
          <w:highlight w:val="none"/>
          <w:lang w:eastAsia="zh-CN"/>
        </w:rPr>
        <w:t>-2</w:t>
      </w:r>
      <w:r>
        <w:rPr>
          <w:rFonts w:hint="eastAsia" w:ascii="Times New Roman" w:hAnsi="Times New Roman" w:eastAsia="宋体" w:cstheme="minorBidi"/>
          <w:b/>
          <w:bCs/>
          <w:color w:val="auto"/>
          <w:highlight w:val="none"/>
          <w:lang w:val="en-US" w:eastAsia="zh-CN"/>
        </w:rPr>
        <w:t xml:space="preserve"> </w:t>
      </w:r>
      <w:r>
        <w:rPr>
          <w:rFonts w:hint="eastAsia" w:ascii="Times New Roman" w:hAnsi="Times New Roman" w:eastAsia="宋体" w:cstheme="minorBidi"/>
          <w:b/>
          <w:bCs/>
          <w:color w:val="auto"/>
          <w:highlight w:val="none"/>
          <w:lang w:eastAsia="zh-CN"/>
        </w:rPr>
        <w:t>项目建设施工期、运营期对环境影响性质分析</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028"/>
        <w:gridCol w:w="893"/>
        <w:gridCol w:w="527"/>
        <w:gridCol w:w="660"/>
        <w:gridCol w:w="593"/>
        <w:gridCol w:w="544"/>
        <w:gridCol w:w="692"/>
        <w:gridCol w:w="709"/>
        <w:gridCol w:w="692"/>
        <w:gridCol w:w="462"/>
        <w:gridCol w:w="428"/>
        <w:gridCol w:w="44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restart"/>
            <w:tcBorders>
              <w:tl2br w:val="nil"/>
              <w:tr2bl w:val="nil"/>
            </w:tcBorders>
            <w:vAlign w:val="center"/>
          </w:tcPr>
          <w:p>
            <w:pPr>
              <w:pStyle w:val="118"/>
              <w:spacing w:line="273" w:lineRule="auto"/>
              <w:ind w:left="0" w:leftChars="0" w:right="113"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sz w:val="21"/>
                <w:szCs w:val="21"/>
                <w:highlight w:val="none"/>
                <w:lang w:val="en-US" w:eastAsia="zh-CN"/>
              </w:rPr>
              <w:t>项</w:t>
            </w:r>
            <w:r>
              <w:rPr>
                <w:rFonts w:hint="default" w:ascii="Times New Roman" w:hAnsi="Times New Roman" w:eastAsia="宋体" w:cs="宋体"/>
                <w:sz w:val="21"/>
                <w:szCs w:val="21"/>
                <w:highlight w:val="none"/>
              </w:rPr>
              <w:t>目</w:t>
            </w:r>
            <w:r>
              <w:rPr>
                <w:rFonts w:hint="default" w:ascii="Times New Roman" w:hAnsi="Times New Roman" w:eastAsia="宋体" w:cs="宋体"/>
                <w:w w:val="99"/>
                <w:sz w:val="21"/>
                <w:szCs w:val="21"/>
                <w:highlight w:val="none"/>
              </w:rPr>
              <w:t xml:space="preserve"> </w:t>
            </w:r>
            <w:r>
              <w:rPr>
                <w:rFonts w:hint="default" w:ascii="Times New Roman" w:hAnsi="Times New Roman" w:eastAsia="宋体" w:cs="宋体"/>
                <w:sz w:val="21"/>
                <w:szCs w:val="21"/>
                <w:highlight w:val="none"/>
              </w:rPr>
              <w:t>阶</w:t>
            </w:r>
            <w:r>
              <w:rPr>
                <w:rFonts w:hint="default" w:ascii="Times New Roman" w:hAnsi="Times New Roman" w:eastAsia="宋体" w:cs="宋体"/>
                <w:w w:val="99"/>
                <w:sz w:val="21"/>
                <w:szCs w:val="21"/>
                <w:highlight w:val="none"/>
              </w:rPr>
              <w:t xml:space="preserve"> </w:t>
            </w:r>
            <w:r>
              <w:rPr>
                <w:rFonts w:hint="default" w:ascii="Times New Roman" w:hAnsi="Times New Roman" w:eastAsia="宋体" w:cs="宋体"/>
                <w:sz w:val="21"/>
                <w:szCs w:val="21"/>
                <w:highlight w:val="none"/>
              </w:rPr>
              <w:t>段</w:t>
            </w:r>
          </w:p>
        </w:tc>
        <w:tc>
          <w:tcPr>
            <w:tcW w:w="1028"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影响行动</w:t>
            </w:r>
          </w:p>
        </w:tc>
        <w:tc>
          <w:tcPr>
            <w:tcW w:w="1420" w:type="dxa"/>
            <w:gridSpan w:val="2"/>
            <w:vMerge w:val="restart"/>
            <w:tcBorders>
              <w:tl2br w:val="nil"/>
              <w:tr2bl w:val="nil"/>
            </w:tcBorders>
            <w:vAlign w:val="center"/>
          </w:tcPr>
          <w:p>
            <w:pPr>
              <w:pStyle w:val="118"/>
              <w:spacing w:before="147"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自然环境</w:t>
            </w:r>
          </w:p>
        </w:tc>
        <w:tc>
          <w:tcPr>
            <w:tcW w:w="1797" w:type="dxa"/>
            <w:gridSpan w:val="3"/>
            <w:vMerge w:val="restart"/>
            <w:tcBorders>
              <w:tl2br w:val="nil"/>
              <w:tr2bl w:val="nil"/>
            </w:tcBorders>
            <w:vAlign w:val="center"/>
          </w:tcPr>
          <w:p>
            <w:pPr>
              <w:pStyle w:val="118"/>
              <w:spacing w:before="147"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生态环境</w:t>
            </w:r>
          </w:p>
        </w:tc>
        <w:tc>
          <w:tcPr>
            <w:tcW w:w="3425" w:type="dxa"/>
            <w:gridSpan w:val="6"/>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土壤环境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vMerge w:val="continue"/>
            <w:tcBorders>
              <w:tl2br w:val="nil"/>
              <w:tr2bl w:val="nil"/>
            </w:tcBorders>
            <w:vAlign w:val="center"/>
          </w:tcPr>
          <w:p>
            <w:pPr>
              <w:jc w:val="center"/>
              <w:rPr>
                <w:rFonts w:ascii="Times New Roman" w:hAnsi="Times New Roman"/>
                <w:highlight w:val="none"/>
              </w:rPr>
            </w:pPr>
          </w:p>
        </w:tc>
        <w:tc>
          <w:tcPr>
            <w:tcW w:w="1420" w:type="dxa"/>
            <w:gridSpan w:val="2"/>
            <w:vMerge w:val="continue"/>
            <w:tcBorders>
              <w:tl2br w:val="nil"/>
              <w:tr2bl w:val="nil"/>
            </w:tcBorders>
            <w:vAlign w:val="center"/>
          </w:tcPr>
          <w:p>
            <w:pPr>
              <w:jc w:val="center"/>
              <w:rPr>
                <w:rFonts w:ascii="Times New Roman" w:hAnsi="Times New Roman"/>
                <w:highlight w:val="none"/>
              </w:rPr>
            </w:pPr>
          </w:p>
        </w:tc>
        <w:tc>
          <w:tcPr>
            <w:tcW w:w="1797" w:type="dxa"/>
            <w:gridSpan w:val="3"/>
            <w:vMerge w:val="continue"/>
            <w:tcBorders>
              <w:tl2br w:val="nil"/>
              <w:tr2bl w:val="nil"/>
            </w:tcBorders>
            <w:vAlign w:val="center"/>
          </w:tcPr>
          <w:p>
            <w:pPr>
              <w:jc w:val="center"/>
              <w:rPr>
                <w:rFonts w:ascii="Times New Roman" w:hAnsi="Times New Roman"/>
                <w:highlight w:val="none"/>
              </w:rPr>
            </w:pPr>
          </w:p>
        </w:tc>
        <w:tc>
          <w:tcPr>
            <w:tcW w:w="2093" w:type="dxa"/>
            <w:gridSpan w:val="3"/>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污染影响型</w:t>
            </w:r>
          </w:p>
        </w:tc>
        <w:tc>
          <w:tcPr>
            <w:tcW w:w="1332" w:type="dxa"/>
            <w:gridSpan w:val="3"/>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生态影响型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vMerge w:val="continue"/>
            <w:tcBorders>
              <w:tl2br w:val="nil"/>
              <w:tr2bl w:val="nil"/>
            </w:tcBorders>
            <w:vAlign w:val="center"/>
          </w:tcPr>
          <w:p>
            <w:pPr>
              <w:jc w:val="center"/>
              <w:rPr>
                <w:rFonts w:ascii="Times New Roman" w:hAnsi="Times New Roman"/>
                <w:highlight w:val="none"/>
              </w:rPr>
            </w:pPr>
          </w:p>
        </w:tc>
        <w:tc>
          <w:tcPr>
            <w:tcW w:w="893"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w w:val="99"/>
                <w:sz w:val="21"/>
                <w:szCs w:val="21"/>
                <w:highlight w:val="none"/>
                <w:lang w:val="en-US" w:eastAsia="zh-CN"/>
              </w:rPr>
              <w:t>大</w:t>
            </w:r>
            <w:r>
              <w:rPr>
                <w:rFonts w:hint="default" w:ascii="Times New Roman" w:hAnsi="Times New Roman" w:eastAsia="宋体" w:cs="宋体"/>
                <w:w w:val="99"/>
                <w:sz w:val="21"/>
                <w:szCs w:val="21"/>
                <w:highlight w:val="none"/>
              </w:rPr>
              <w:t>气</w:t>
            </w:r>
          </w:p>
        </w:tc>
        <w:tc>
          <w:tcPr>
            <w:tcW w:w="527" w:type="dxa"/>
            <w:tcBorders>
              <w:tl2br w:val="nil"/>
              <w:tr2bl w:val="nil"/>
            </w:tcBorders>
            <w:vAlign w:val="center"/>
          </w:tcPr>
          <w:p>
            <w:pPr>
              <w:pStyle w:val="118"/>
              <w:spacing w:before="141"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声</w:t>
            </w:r>
          </w:p>
        </w:tc>
        <w:tc>
          <w:tcPr>
            <w:tcW w:w="660"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水土流失</w:t>
            </w:r>
          </w:p>
        </w:tc>
        <w:tc>
          <w:tcPr>
            <w:tcW w:w="593" w:type="dxa"/>
            <w:tcBorders>
              <w:tl2br w:val="nil"/>
              <w:tr2bl w:val="nil"/>
            </w:tcBorders>
            <w:vAlign w:val="center"/>
          </w:tcPr>
          <w:p>
            <w:pPr>
              <w:pStyle w:val="118"/>
              <w:spacing w:line="260" w:lineRule="exact"/>
              <w:ind w:left="0" w:leftChars="0" w:right="0" w:firstLine="0" w:firstLineChars="0"/>
              <w:jc w:val="center"/>
              <w:rPr>
                <w:rFonts w:hint="eastAsia" w:ascii="Times New Roman" w:hAnsi="Times New Roman" w:eastAsia="宋体" w:cs="宋体"/>
                <w:sz w:val="21"/>
                <w:szCs w:val="21"/>
                <w:highlight w:val="none"/>
                <w:lang w:val="en-US" w:eastAsia="zh-CN"/>
              </w:rPr>
            </w:pPr>
            <w:r>
              <w:rPr>
                <w:rFonts w:hint="default" w:ascii="Times New Roman" w:hAnsi="Times New Roman" w:eastAsia="宋体" w:cs="宋体"/>
                <w:w w:val="99"/>
                <w:sz w:val="21"/>
                <w:szCs w:val="21"/>
                <w:highlight w:val="none"/>
              </w:rPr>
              <w:t>植</w:t>
            </w:r>
            <w:r>
              <w:rPr>
                <w:rFonts w:hint="eastAsia" w:ascii="Times New Roman" w:hAnsi="Times New Roman" w:eastAsia="宋体" w:cs="宋体"/>
                <w:w w:val="99"/>
                <w:sz w:val="21"/>
                <w:szCs w:val="21"/>
                <w:highlight w:val="none"/>
                <w:lang w:val="en-US" w:eastAsia="zh-CN"/>
              </w:rPr>
              <w:t>被</w:t>
            </w:r>
          </w:p>
          <w:p>
            <w:pPr>
              <w:pStyle w:val="118"/>
              <w:spacing w:before="37" w:line="240" w:lineRule="auto"/>
              <w:ind w:left="187"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被</w:t>
            </w:r>
          </w:p>
        </w:tc>
        <w:tc>
          <w:tcPr>
            <w:tcW w:w="544" w:type="dxa"/>
            <w:tcBorders>
              <w:tl2br w:val="nil"/>
              <w:tr2bl w:val="nil"/>
            </w:tcBorders>
            <w:vAlign w:val="center"/>
          </w:tcPr>
          <w:p>
            <w:pPr>
              <w:pStyle w:val="118"/>
              <w:spacing w:line="260" w:lineRule="exact"/>
              <w:ind w:left="162"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土</w:t>
            </w:r>
          </w:p>
          <w:p>
            <w:pPr>
              <w:pStyle w:val="118"/>
              <w:spacing w:before="37" w:line="240" w:lineRule="auto"/>
              <w:ind w:left="162"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壤</w:t>
            </w:r>
          </w:p>
        </w:tc>
        <w:tc>
          <w:tcPr>
            <w:tcW w:w="692"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大气沉降</w:t>
            </w:r>
          </w:p>
        </w:tc>
        <w:tc>
          <w:tcPr>
            <w:tcW w:w="709"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大面漫流</w:t>
            </w:r>
          </w:p>
        </w:tc>
        <w:tc>
          <w:tcPr>
            <w:tcW w:w="692"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垂直渗入</w:t>
            </w:r>
          </w:p>
        </w:tc>
        <w:tc>
          <w:tcPr>
            <w:tcW w:w="462" w:type="dxa"/>
            <w:tcBorders>
              <w:tl2br w:val="nil"/>
              <w:tr2bl w:val="nil"/>
            </w:tcBorders>
            <w:vAlign w:val="center"/>
          </w:tcPr>
          <w:p>
            <w:pPr>
              <w:pStyle w:val="118"/>
              <w:spacing w:line="260" w:lineRule="exact"/>
              <w:ind w:left="0" w:leftChars="0" w:right="0" w:firstLine="0" w:firstLineChars="0"/>
              <w:jc w:val="both"/>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破坏地表</w:t>
            </w:r>
          </w:p>
        </w:tc>
        <w:tc>
          <w:tcPr>
            <w:tcW w:w="428" w:type="dxa"/>
            <w:tcBorders>
              <w:tl2br w:val="nil"/>
              <w:tr2bl w:val="nil"/>
            </w:tcBorders>
            <w:vAlign w:val="center"/>
          </w:tcPr>
          <w:p>
            <w:pPr>
              <w:pStyle w:val="118"/>
              <w:spacing w:line="260" w:lineRule="exact"/>
              <w:ind w:left="104"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碱</w:t>
            </w:r>
          </w:p>
          <w:p>
            <w:pPr>
              <w:pStyle w:val="118"/>
              <w:spacing w:before="37" w:line="240" w:lineRule="auto"/>
              <w:ind w:left="104"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化</w:t>
            </w:r>
          </w:p>
        </w:tc>
        <w:tc>
          <w:tcPr>
            <w:tcW w:w="442" w:type="dxa"/>
            <w:tcBorders>
              <w:tl2br w:val="nil"/>
              <w:tr2bl w:val="nil"/>
            </w:tcBorders>
            <w:vAlign w:val="center"/>
          </w:tcPr>
          <w:p>
            <w:pPr>
              <w:pStyle w:val="118"/>
              <w:spacing w:line="260" w:lineRule="exact"/>
              <w:ind w:left="111"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酸</w:t>
            </w:r>
          </w:p>
          <w:p>
            <w:pPr>
              <w:pStyle w:val="118"/>
              <w:spacing w:before="37" w:line="240" w:lineRule="auto"/>
              <w:ind w:left="111"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trPr>
        <w:tc>
          <w:tcPr>
            <w:tcW w:w="852" w:type="dxa"/>
            <w:vMerge w:val="restart"/>
            <w:tcBorders>
              <w:tl2br w:val="nil"/>
              <w:tr2bl w:val="nil"/>
            </w:tcBorders>
            <w:vAlign w:val="center"/>
          </w:tcPr>
          <w:p>
            <w:pPr>
              <w:pStyle w:val="118"/>
              <w:spacing w:line="273" w:lineRule="auto"/>
              <w:ind w:left="0" w:leftChars="0" w:right="113"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sz w:val="21"/>
                <w:szCs w:val="21"/>
                <w:highlight w:val="none"/>
                <w:lang w:val="en-US" w:eastAsia="zh-CN"/>
              </w:rPr>
              <w:t>施</w:t>
            </w:r>
            <w:r>
              <w:rPr>
                <w:rFonts w:hint="default" w:ascii="Times New Roman" w:hAnsi="Times New Roman" w:eastAsia="宋体" w:cs="宋体"/>
                <w:sz w:val="21"/>
                <w:szCs w:val="21"/>
                <w:highlight w:val="none"/>
              </w:rPr>
              <w:t>工期</w:t>
            </w:r>
          </w:p>
        </w:tc>
        <w:tc>
          <w:tcPr>
            <w:tcW w:w="1028"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清理场地</w:t>
            </w:r>
          </w:p>
        </w:tc>
        <w:tc>
          <w:tcPr>
            <w:tcW w:w="893" w:type="dxa"/>
            <w:tcBorders>
              <w:tl2br w:val="nil"/>
              <w:tr2bl w:val="nil"/>
            </w:tcBorders>
            <w:vAlign w:val="center"/>
          </w:tcPr>
          <w:p>
            <w:pPr>
              <w:jc w:val="both"/>
              <w:rPr>
                <w:rFonts w:ascii="Times New Roman" w:hAnsi="Times New Roman"/>
                <w:highlight w:val="none"/>
              </w:rPr>
            </w:pPr>
            <w:r>
              <w:rPr>
                <w:rFonts w:ascii="Times New Roman" w:hAnsi="Times New Roman"/>
                <w:sz w:val="21"/>
                <w:highlight w:val="none"/>
              </w:rPr>
              <w:t>-1S</w:t>
            </w:r>
          </w:p>
        </w:tc>
        <w:tc>
          <w:tcPr>
            <w:tcW w:w="527" w:type="dxa"/>
            <w:tcBorders>
              <w:tl2br w:val="nil"/>
              <w:tr2bl w:val="nil"/>
            </w:tcBorders>
            <w:vAlign w:val="center"/>
          </w:tcPr>
          <w:p>
            <w:pPr>
              <w:jc w:val="center"/>
              <w:rPr>
                <w:rFonts w:ascii="Times New Roman" w:hAnsi="Times New Roman"/>
                <w:highlight w:val="none"/>
              </w:rPr>
            </w:pPr>
          </w:p>
        </w:tc>
        <w:tc>
          <w:tcPr>
            <w:tcW w:w="660" w:type="dxa"/>
            <w:tcBorders>
              <w:tl2br w:val="nil"/>
              <w:tr2bl w:val="nil"/>
            </w:tcBorders>
            <w:vAlign w:val="center"/>
          </w:tcPr>
          <w:p>
            <w:pPr>
              <w:ind w:left="0" w:leftChars="0" w:firstLine="0" w:firstLineChars="0"/>
              <w:jc w:val="center"/>
              <w:rPr>
                <w:rFonts w:ascii="Times New Roman" w:hAnsi="Times New Roman"/>
                <w:highlight w:val="none"/>
              </w:rPr>
            </w:pPr>
          </w:p>
        </w:tc>
        <w:tc>
          <w:tcPr>
            <w:tcW w:w="593" w:type="dxa"/>
            <w:tcBorders>
              <w:tl2br w:val="nil"/>
              <w:tr2bl w:val="nil"/>
            </w:tcBorders>
            <w:vAlign w:val="center"/>
          </w:tcPr>
          <w:p>
            <w:pPr>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2"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开挖地面</w:t>
            </w:r>
          </w:p>
        </w:tc>
        <w:tc>
          <w:tcPr>
            <w:tcW w:w="893" w:type="dxa"/>
            <w:tcBorders>
              <w:tl2br w:val="nil"/>
              <w:tr2bl w:val="nil"/>
            </w:tcBorders>
            <w:vAlign w:val="center"/>
          </w:tcPr>
          <w:p>
            <w:pPr>
              <w:jc w:val="both"/>
              <w:rPr>
                <w:rFonts w:ascii="Times New Roman" w:hAnsi="Times New Roman"/>
                <w:highlight w:val="none"/>
              </w:rPr>
            </w:pPr>
            <w:r>
              <w:rPr>
                <w:rFonts w:ascii="Times New Roman" w:hAnsi="Times New Roman"/>
                <w:sz w:val="21"/>
                <w:highlight w:val="none"/>
              </w:rPr>
              <w:t>-1S</w:t>
            </w:r>
          </w:p>
        </w:tc>
        <w:tc>
          <w:tcPr>
            <w:tcW w:w="527"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6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92"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运输</w:t>
            </w:r>
          </w:p>
        </w:tc>
        <w:tc>
          <w:tcPr>
            <w:tcW w:w="893" w:type="dxa"/>
            <w:tcBorders>
              <w:tl2br w:val="nil"/>
              <w:tr2bl w:val="nil"/>
            </w:tcBorders>
            <w:vAlign w:val="center"/>
          </w:tcPr>
          <w:p>
            <w:pPr>
              <w:jc w:val="both"/>
              <w:rPr>
                <w:rFonts w:ascii="Times New Roman" w:hAnsi="Times New Roman"/>
                <w:highlight w:val="none"/>
              </w:rPr>
            </w:pPr>
            <w:r>
              <w:rPr>
                <w:rFonts w:ascii="Times New Roman" w:hAnsi="Times New Roman"/>
                <w:sz w:val="21"/>
                <w:highlight w:val="none"/>
              </w:rPr>
              <w:t>-1S</w:t>
            </w:r>
          </w:p>
        </w:tc>
        <w:tc>
          <w:tcPr>
            <w:tcW w:w="527"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建设安装</w:t>
            </w:r>
          </w:p>
        </w:tc>
        <w:tc>
          <w:tcPr>
            <w:tcW w:w="893" w:type="dxa"/>
            <w:tcBorders>
              <w:tl2br w:val="nil"/>
              <w:tr2bl w:val="nil"/>
            </w:tcBorders>
            <w:vAlign w:val="center"/>
          </w:tcPr>
          <w:p>
            <w:pPr>
              <w:jc w:val="center"/>
              <w:rPr>
                <w:rFonts w:ascii="Times New Roman" w:hAnsi="Times New Roman"/>
                <w:highlight w:val="none"/>
              </w:rPr>
            </w:pPr>
          </w:p>
        </w:tc>
        <w:tc>
          <w:tcPr>
            <w:tcW w:w="527"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ind w:left="0" w:leftChars="0" w:firstLine="0" w:firstLineChars="0"/>
              <w:jc w:val="center"/>
              <w:rPr>
                <w:rFonts w:ascii="Times New Roman" w:hAnsi="Times New Roman"/>
                <w:highlight w:val="none"/>
              </w:rPr>
            </w:pP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材料堆场</w:t>
            </w:r>
          </w:p>
        </w:tc>
        <w:tc>
          <w:tcPr>
            <w:tcW w:w="893"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527" w:type="dxa"/>
            <w:tcBorders>
              <w:tl2br w:val="nil"/>
              <w:tr2bl w:val="nil"/>
            </w:tcBorders>
            <w:vAlign w:val="center"/>
          </w:tcPr>
          <w:p>
            <w:pPr>
              <w:ind w:left="0" w:leftChars="0" w:firstLine="0" w:firstLineChars="0"/>
              <w:jc w:val="center"/>
              <w:rPr>
                <w:rFonts w:ascii="Times New Roman" w:hAnsi="Times New Roman"/>
                <w:highlight w:val="none"/>
              </w:rPr>
            </w:pP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ind w:left="0" w:leftChars="0" w:firstLine="0" w:firstLineChars="0"/>
              <w:jc w:val="center"/>
              <w:rPr>
                <w:rFonts w:ascii="Times New Roman" w:hAnsi="Times New Roman"/>
                <w:highlight w:val="none"/>
              </w:rPr>
            </w:pPr>
          </w:p>
        </w:tc>
        <w:tc>
          <w:tcPr>
            <w:tcW w:w="7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692"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restart"/>
            <w:tcBorders>
              <w:tl2br w:val="nil"/>
              <w:tr2bl w:val="nil"/>
            </w:tcBorders>
            <w:vAlign w:val="center"/>
          </w:tcPr>
          <w:p>
            <w:pPr>
              <w:pStyle w:val="118"/>
              <w:spacing w:line="273" w:lineRule="auto"/>
              <w:ind w:left="0" w:leftChars="0" w:right="113"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sz w:val="21"/>
                <w:szCs w:val="21"/>
                <w:highlight w:val="none"/>
                <w:lang w:val="en-US" w:eastAsia="zh-CN"/>
              </w:rPr>
              <w:t>运营</w:t>
            </w:r>
            <w:r>
              <w:rPr>
                <w:rFonts w:hint="default" w:ascii="Times New Roman" w:hAnsi="Times New Roman" w:eastAsia="宋体" w:cs="宋体"/>
                <w:sz w:val="21"/>
                <w:szCs w:val="21"/>
                <w:highlight w:val="none"/>
              </w:rPr>
              <w:t>期</w:t>
            </w:r>
          </w:p>
        </w:tc>
        <w:tc>
          <w:tcPr>
            <w:tcW w:w="1028"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采矿作业</w:t>
            </w:r>
          </w:p>
        </w:tc>
        <w:tc>
          <w:tcPr>
            <w:tcW w:w="893" w:type="dxa"/>
            <w:tcBorders>
              <w:tl2br w:val="nil"/>
              <w:tr2bl w:val="nil"/>
            </w:tcBorders>
            <w:vAlign w:val="center"/>
          </w:tcPr>
          <w:p>
            <w:pPr>
              <w:ind w:left="0" w:leftChars="0" w:firstLine="0" w:firstLineChars="0"/>
              <w:jc w:val="center"/>
              <w:rPr>
                <w:rFonts w:ascii="Times New Roman" w:hAnsi="Times New Roman"/>
                <w:highlight w:val="none"/>
              </w:rPr>
            </w:pPr>
            <w:r>
              <w:rPr>
                <w:rFonts w:ascii="Times New Roman" w:hAnsi="Times New Roman"/>
                <w:sz w:val="21"/>
                <w:highlight w:val="none"/>
              </w:rPr>
              <w:t>-2L</w:t>
            </w:r>
          </w:p>
        </w:tc>
        <w:tc>
          <w:tcPr>
            <w:tcW w:w="527"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6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92"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Times New Roman" w:cs="Times New Roman"/>
                <w:w w:val="99"/>
                <w:sz w:val="21"/>
                <w:szCs w:val="21"/>
                <w:highlight w:val="none"/>
              </w:rPr>
              <w:t>√</w:t>
            </w: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废石排放</w:t>
            </w:r>
          </w:p>
        </w:tc>
        <w:tc>
          <w:tcPr>
            <w:tcW w:w="893"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527" w:type="dxa"/>
            <w:tcBorders>
              <w:tl2br w:val="nil"/>
              <w:tr2bl w:val="nil"/>
            </w:tcBorders>
            <w:vAlign w:val="center"/>
          </w:tcPr>
          <w:p>
            <w:pPr>
              <w:ind w:left="0" w:leftChars="0" w:firstLine="0" w:firstLineChars="0"/>
              <w:jc w:val="center"/>
              <w:rPr>
                <w:rFonts w:ascii="Times New Roman" w:hAnsi="Times New Roman"/>
                <w:highlight w:val="none"/>
              </w:rPr>
            </w:pP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544"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92"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运输</w:t>
            </w:r>
          </w:p>
        </w:tc>
        <w:tc>
          <w:tcPr>
            <w:tcW w:w="893" w:type="dxa"/>
            <w:tcBorders>
              <w:tl2br w:val="nil"/>
              <w:tr2bl w:val="nil"/>
            </w:tcBorders>
            <w:vAlign w:val="center"/>
          </w:tcPr>
          <w:p>
            <w:pPr>
              <w:ind w:left="0" w:leftChars="0" w:firstLine="0" w:firstLineChars="0"/>
              <w:jc w:val="center"/>
              <w:rPr>
                <w:rFonts w:ascii="Times New Roman" w:hAnsi="Times New Roman"/>
                <w:highlight w:val="none"/>
              </w:rPr>
            </w:pPr>
            <w:r>
              <w:rPr>
                <w:rFonts w:ascii="Times New Roman" w:hAnsi="Times New Roman"/>
                <w:sz w:val="21"/>
                <w:highlight w:val="none"/>
              </w:rPr>
              <w:t>-2L</w:t>
            </w:r>
          </w:p>
        </w:tc>
        <w:tc>
          <w:tcPr>
            <w:tcW w:w="527"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52"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w w:val="99"/>
                <w:sz w:val="21"/>
                <w:szCs w:val="21"/>
                <w:highlight w:val="none"/>
                <w:lang w:val="en-US" w:eastAsia="zh-CN"/>
              </w:rPr>
              <w:t>备</w:t>
            </w:r>
            <w:r>
              <w:rPr>
                <w:rFonts w:hint="default" w:ascii="Times New Roman" w:hAnsi="Times New Roman" w:eastAsia="宋体" w:cs="宋体"/>
                <w:w w:val="99"/>
                <w:sz w:val="21"/>
                <w:szCs w:val="21"/>
                <w:highlight w:val="none"/>
              </w:rPr>
              <w:t>注</w:t>
            </w:r>
          </w:p>
        </w:tc>
        <w:tc>
          <w:tcPr>
            <w:tcW w:w="7670" w:type="dxa"/>
            <w:gridSpan w:val="12"/>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有利影响；</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不利影响；</w:t>
            </w:r>
            <w:r>
              <w:rPr>
                <w:rFonts w:hint="default" w:ascii="Times New Roman" w:hAnsi="Times New Roman" w:eastAsia="Times New Roman" w:cs="Times New Roman"/>
                <w:sz w:val="21"/>
                <w:szCs w:val="21"/>
                <w:highlight w:val="none"/>
              </w:rPr>
              <w:t xml:space="preserve">S </w:t>
            </w:r>
            <w:r>
              <w:rPr>
                <w:rFonts w:hint="default" w:ascii="Times New Roman" w:hAnsi="Times New Roman" w:eastAsia="宋体" w:cs="宋体"/>
                <w:sz w:val="21"/>
                <w:szCs w:val="21"/>
                <w:highlight w:val="none"/>
              </w:rPr>
              <w:t>短期影响；</w:t>
            </w:r>
            <w:r>
              <w:rPr>
                <w:rFonts w:hint="default" w:ascii="Times New Roman" w:hAnsi="Times New Roman" w:eastAsia="Times New Roman" w:cs="Times New Roman"/>
                <w:sz w:val="21"/>
                <w:szCs w:val="21"/>
                <w:highlight w:val="none"/>
              </w:rPr>
              <w:t xml:space="preserve">L </w:t>
            </w:r>
            <w:r>
              <w:rPr>
                <w:rFonts w:hint="default" w:ascii="Times New Roman" w:hAnsi="Times New Roman" w:eastAsia="宋体" w:cs="宋体"/>
                <w:sz w:val="21"/>
                <w:szCs w:val="21"/>
                <w:highlight w:val="none"/>
              </w:rPr>
              <w:t>长期影响；</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Times New Roman" w:cs="Times New Roman"/>
                <w:spacing w:val="-20"/>
                <w:sz w:val="21"/>
                <w:szCs w:val="21"/>
                <w:highlight w:val="none"/>
              </w:rPr>
              <w:t xml:space="preserve"> </w:t>
            </w:r>
            <w:r>
              <w:rPr>
                <w:rFonts w:hint="default" w:ascii="Times New Roman" w:hAnsi="Times New Roman" w:eastAsia="宋体" w:cs="宋体"/>
                <w:sz w:val="21"/>
                <w:szCs w:val="21"/>
                <w:highlight w:val="none"/>
              </w:rPr>
              <w:t>影响程度由小到大</w:t>
            </w:r>
          </w:p>
          <w:p>
            <w:pPr>
              <w:pStyle w:val="118"/>
              <w:spacing w:before="21"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为可能产生的土壤环境影响类别</w:t>
            </w:r>
          </w:p>
        </w:tc>
      </w:tr>
    </w:tbl>
    <w:p>
      <w:pPr>
        <w:spacing w:line="360" w:lineRule="auto"/>
        <w:ind w:left="0" w:leftChars="0" w:firstLine="480" w:firstLineChars="20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从表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lang w:eastAsia="zh-CN"/>
        </w:rPr>
        <w:t>-2中可知，项目</w:t>
      </w:r>
      <w:r>
        <w:rPr>
          <w:rFonts w:hint="eastAsia" w:ascii="Times New Roman" w:hAnsi="Times New Roman" w:eastAsia="宋体" w:cstheme="minorBidi"/>
          <w:color w:val="auto"/>
          <w:highlight w:val="none"/>
          <w:lang w:val="en-US" w:eastAsia="zh-CN"/>
        </w:rPr>
        <w:t>施工期</w:t>
      </w:r>
      <w:r>
        <w:rPr>
          <w:rFonts w:hint="eastAsia" w:ascii="Times New Roman" w:hAnsi="Times New Roman" w:eastAsia="宋体" w:cstheme="minorBidi"/>
          <w:color w:val="auto"/>
          <w:highlight w:val="none"/>
          <w:lang w:eastAsia="zh-CN"/>
        </w:rPr>
        <w:t>对环境的不利影响主要是生态破坏及产生的 废气、废水和固废对周边大气、水、土壤环境产生的影响，其次为噪声。运营期 的影响为长期的直接影响，因此进行评价的主要时段是运营期，评价重点应为大 气环境、生态环境、水环境及固废。</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30"/>
          <w:highlight w:val="none"/>
          <w:lang w:val="en-US" w:eastAsia="zh-CN"/>
        </w:rPr>
      </w:pPr>
      <w:bookmarkStart w:id="51" w:name="_Toc15579"/>
      <w:r>
        <w:rPr>
          <w:rFonts w:hint="eastAsia" w:ascii="Times New Roman" w:hAnsi="Times New Roman" w:eastAsia="宋体"/>
          <w:b/>
          <w:bCs w:val="0"/>
          <w:color w:val="auto"/>
          <w:sz w:val="30"/>
          <w:highlight w:val="none"/>
          <w:lang w:val="en-US" w:eastAsia="zh-CN"/>
        </w:rPr>
        <w:t xml:space="preserve">2.5.3 </w:t>
      </w:r>
      <w:r>
        <w:rPr>
          <w:rFonts w:hint="eastAsia" w:ascii="Times New Roman" w:hAnsi="Times New Roman" w:eastAsia="宋体"/>
          <w:b/>
          <w:bCs w:val="0"/>
          <w:color w:val="auto"/>
          <w:sz w:val="30"/>
          <w:highlight w:val="none"/>
        </w:rPr>
        <w:t>评价因子筛选</w:t>
      </w:r>
      <w:bookmarkEnd w:id="51"/>
    </w:p>
    <w:p>
      <w:pPr>
        <w:spacing w:line="360" w:lineRule="auto"/>
        <w:ind w:firstLine="48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通过对环境影响因素的识别并结合项目排污特点，确定本次评价因子见表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lang w:eastAsia="zh-CN"/>
        </w:rPr>
        <w:t>-3。</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表2.5-3 评价因子一览表</w:t>
      </w:r>
    </w:p>
    <w:tbl>
      <w:tblPr>
        <w:tblStyle w:val="36"/>
        <w:tblW w:w="0" w:type="auto"/>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5625"/>
        <w:gridCol w:w="17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环境要素</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现状评价因子</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影响评价因子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大气</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Times New Roman" w:cs="Times New Roman"/>
                <w:position w:val="2"/>
                <w:sz w:val="21"/>
                <w:szCs w:val="21"/>
                <w:highlight w:val="none"/>
              </w:rPr>
              <w:t>TSP</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PM</w:t>
            </w:r>
            <w:r>
              <w:rPr>
                <w:rFonts w:hint="default" w:ascii="Times New Roman" w:hAnsi="Times New Roman" w:eastAsia="Times New Roman" w:cs="Times New Roman"/>
                <w:sz w:val="13"/>
                <w:szCs w:val="13"/>
                <w:highlight w:val="none"/>
              </w:rPr>
              <w:t>10</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PM</w:t>
            </w:r>
            <w:r>
              <w:rPr>
                <w:rFonts w:hint="default" w:ascii="Times New Roman" w:hAnsi="Times New Roman" w:eastAsia="Times New Roman" w:cs="Times New Roman"/>
                <w:sz w:val="13"/>
                <w:szCs w:val="13"/>
                <w:highlight w:val="none"/>
              </w:rPr>
              <w:t>2.5</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SO</w:t>
            </w:r>
            <w:r>
              <w:rPr>
                <w:rFonts w:hint="default" w:ascii="Times New Roman" w:hAnsi="Times New Roman" w:eastAsia="Times New Roman" w:cs="Times New Roman"/>
                <w:sz w:val="13"/>
                <w:szCs w:val="13"/>
                <w:highlight w:val="none"/>
              </w:rPr>
              <w:t>2</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NO</w:t>
            </w:r>
            <w:r>
              <w:rPr>
                <w:rFonts w:hint="default" w:ascii="Times New Roman" w:hAnsi="Times New Roman" w:eastAsia="Times New Roman" w:cs="Times New Roman"/>
                <w:sz w:val="13"/>
                <w:szCs w:val="13"/>
                <w:highlight w:val="none"/>
              </w:rPr>
              <w:t>2</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O</w:t>
            </w:r>
            <w:r>
              <w:rPr>
                <w:rFonts w:hint="default" w:ascii="Times New Roman" w:hAnsi="Times New Roman" w:eastAsia="Times New Roman" w:cs="Times New Roman"/>
                <w:sz w:val="13"/>
                <w:szCs w:val="13"/>
                <w:highlight w:val="none"/>
              </w:rPr>
              <w:t>3</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CO</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TSP</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固体废物</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生活垃圾、废石</w:t>
            </w:r>
            <w:r>
              <w:rPr>
                <w:rFonts w:hint="eastAsia" w:eastAsia="宋体" w:cstheme="minorBidi"/>
                <w:color w:val="auto"/>
                <w:sz w:val="21"/>
                <w:szCs w:val="21"/>
                <w:highlight w:val="none"/>
                <w:vertAlign w:val="baseline"/>
                <w:lang w:val="en-US" w:eastAsia="zh-CN"/>
              </w:rPr>
              <w:t>、底泥</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噪声</w:t>
            </w:r>
          </w:p>
        </w:tc>
        <w:tc>
          <w:tcPr>
            <w:tcW w:w="5625"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等效连续</w:t>
            </w:r>
            <w:r>
              <w:rPr>
                <w:rFonts w:hint="default" w:ascii="Times New Roman" w:hAnsi="Times New Roman" w:eastAsia="宋体" w:cs="宋体"/>
                <w:spacing w:val="-57"/>
                <w:sz w:val="21"/>
                <w:szCs w:val="21"/>
                <w:highlight w:val="none"/>
              </w:rPr>
              <w:t xml:space="preserve"> </w:t>
            </w:r>
            <w:r>
              <w:rPr>
                <w:rFonts w:hint="default" w:ascii="Times New Roman" w:hAnsi="Times New Roman" w:eastAsia="Times New Roman" w:cs="Times New Roman"/>
                <w:sz w:val="21"/>
                <w:szCs w:val="21"/>
                <w:highlight w:val="none"/>
              </w:rPr>
              <w:t>A</w:t>
            </w:r>
            <w:r>
              <w:rPr>
                <w:rFonts w:hint="default" w:ascii="Times New Roman" w:hAnsi="Times New Roman" w:eastAsia="Times New Roman" w:cs="Times New Roman"/>
                <w:spacing w:val="-4"/>
                <w:sz w:val="21"/>
                <w:szCs w:val="21"/>
                <w:highlight w:val="none"/>
              </w:rPr>
              <w:t xml:space="preserve"> </w:t>
            </w:r>
            <w:r>
              <w:rPr>
                <w:rFonts w:hint="default" w:ascii="Times New Roman" w:hAnsi="Times New Roman" w:eastAsia="宋体" w:cs="宋体"/>
                <w:sz w:val="21"/>
                <w:szCs w:val="21"/>
                <w:highlight w:val="none"/>
              </w:rPr>
              <w:t>声级</w:t>
            </w:r>
          </w:p>
        </w:tc>
        <w:tc>
          <w:tcPr>
            <w:tcW w:w="1723"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等效连续</w:t>
            </w:r>
            <w:r>
              <w:rPr>
                <w:rFonts w:hint="default" w:ascii="Times New Roman" w:hAnsi="Times New Roman" w:eastAsia="宋体" w:cs="宋体"/>
                <w:spacing w:val="-57"/>
                <w:sz w:val="21"/>
                <w:szCs w:val="21"/>
                <w:highlight w:val="none"/>
              </w:rPr>
              <w:t xml:space="preserve"> </w:t>
            </w:r>
            <w:r>
              <w:rPr>
                <w:rFonts w:hint="default" w:ascii="Times New Roman" w:hAnsi="Times New Roman" w:eastAsia="Times New Roman" w:cs="Times New Roman"/>
                <w:sz w:val="21"/>
                <w:szCs w:val="21"/>
                <w:highlight w:val="none"/>
              </w:rPr>
              <w:t>A</w:t>
            </w:r>
            <w:r>
              <w:rPr>
                <w:rFonts w:hint="default" w:ascii="Times New Roman" w:hAnsi="Times New Roman" w:eastAsia="Times New Roman" w:cs="Times New Roman"/>
                <w:spacing w:val="-4"/>
                <w:sz w:val="21"/>
                <w:szCs w:val="21"/>
                <w:highlight w:val="none"/>
              </w:rPr>
              <w:t xml:space="preserve"> </w:t>
            </w:r>
            <w:r>
              <w:rPr>
                <w:rFonts w:hint="default" w:ascii="Times New Roman" w:hAnsi="Times New Roman" w:eastAsia="宋体" w:cs="宋体"/>
                <w:sz w:val="21"/>
                <w:szCs w:val="21"/>
                <w:highlight w:val="none"/>
              </w:rPr>
              <w:t>声级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土壤</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砷、镉、铬（六价）、铜、铅、汞、镍、四氯化碳、氯仿、氯甲烷，1，1-二氯乙烷、1，2-二氯乙烷、1，1-二氯乙烯、顺-1，1-二氯乙烯、反-1，1-二氯乙烯、二氯甲烷、1，2-二氯丙烷、1，1，1，2-四氯乙烷、1，1，2，2-四氯乙烷、四氯乙烯、1，1，1-三氯乙烷、1，1，2-三氯乙烷、三氯乙烯、1，2，3-三氯丙烷、氯乙烯、苯、氯苯、1，2-二氯苯、1，4-二氯苯、乙苯、苯乙烯、甲苯、间二甲苯+对二甲苯、邻二甲苯、硝基苯、苯胺、2-氯酚、苯丙[α]蒽、苯丙[α]芘、苯丙[b]荧蒽、苯丙[k]荧蒽、䓛、二苯并[α，h]蒽、茚并[1，2，3-cd]芘、萘</w:t>
            </w:r>
            <w:r>
              <w:rPr>
                <w:rFonts w:hint="eastAsia" w:eastAsia="宋体" w:cstheme="minorBidi"/>
                <w:color w:val="auto"/>
                <w:sz w:val="21"/>
                <w:szCs w:val="21"/>
                <w:highlight w:val="none"/>
                <w:vertAlign w:val="baseline"/>
                <w:lang w:val="en-US" w:eastAsia="zh-CN"/>
              </w:rPr>
              <w:t>、</w:t>
            </w:r>
            <w:r>
              <w:rPr>
                <w:rFonts w:hint="eastAsia" w:eastAsia="宋体" w:cstheme="minorBidi"/>
                <w:color w:val="FF0000"/>
                <w:sz w:val="21"/>
                <w:szCs w:val="21"/>
                <w:highlight w:val="none"/>
                <w:vertAlign w:val="baseline"/>
                <w:lang w:val="en-US" w:eastAsia="zh-CN"/>
              </w:rPr>
              <w:t>石油类</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eastAsia="宋体" w:cstheme="minorBidi"/>
                <w:color w:val="FF0000"/>
                <w:sz w:val="21"/>
                <w:szCs w:val="21"/>
                <w:highlight w:val="none"/>
                <w:vertAlign w:val="baseline"/>
                <w:lang w:val="en-US" w:eastAsia="zh-CN"/>
              </w:rPr>
              <w:t>石油类</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生态环境</w:t>
            </w:r>
          </w:p>
        </w:tc>
        <w:tc>
          <w:tcPr>
            <w:tcW w:w="5625"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植被、土壤、动物、景观</w:t>
            </w:r>
          </w:p>
        </w:tc>
        <w:tc>
          <w:tcPr>
            <w:tcW w:w="1723"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植被破坏、水土</w:t>
            </w:r>
            <w:r>
              <w:rPr>
                <w:rFonts w:hint="default" w:ascii="Times New Roman" w:hAnsi="Times New Roman" w:eastAsia="宋体" w:cs="宋体"/>
                <w:w w:val="99"/>
                <w:sz w:val="21"/>
                <w:szCs w:val="21"/>
                <w:highlight w:val="none"/>
              </w:rPr>
              <w:t xml:space="preserve"> </w:t>
            </w:r>
            <w:r>
              <w:rPr>
                <w:rFonts w:hint="default" w:ascii="Times New Roman" w:hAnsi="Times New Roman" w:eastAsia="宋体" w:cs="宋体"/>
                <w:sz w:val="21"/>
                <w:szCs w:val="21"/>
                <w:highlight w:val="none"/>
              </w:rPr>
              <w:t>流失</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52" w:name="_Toc20229"/>
      <w:bookmarkStart w:id="53" w:name="_Toc8051031"/>
      <w:bookmarkStart w:id="54" w:name="_Toc2026550"/>
      <w:r>
        <w:rPr>
          <w:rFonts w:hint="eastAsia" w:ascii="Times New Roman" w:hAnsi="Times New Roman" w:eastAsia="宋体"/>
          <w:b/>
          <w:bCs w:val="0"/>
          <w:color w:val="auto"/>
          <w:highlight w:val="none"/>
        </w:rPr>
        <w:t>2.</w:t>
      </w:r>
      <w:r>
        <w:rPr>
          <w:rFonts w:hint="eastAsia" w:ascii="Times New Roman" w:hAnsi="Times New Roman" w:eastAsia="宋体"/>
          <w:b/>
          <w:bCs w:val="0"/>
          <w:color w:val="auto"/>
          <w:highlight w:val="none"/>
          <w:lang w:val="en-US" w:eastAsia="zh-CN"/>
        </w:rPr>
        <w:t>6</w:t>
      </w:r>
      <w:r>
        <w:rPr>
          <w:rFonts w:hint="eastAsia" w:ascii="Times New Roman" w:hAnsi="Times New Roman" w:eastAsia="宋体"/>
          <w:b/>
          <w:bCs w:val="0"/>
          <w:color w:val="auto"/>
          <w:highlight w:val="none"/>
        </w:rPr>
        <w:t xml:space="preserve"> 评价工作等级</w:t>
      </w:r>
      <w:bookmarkEnd w:id="52"/>
      <w:bookmarkEnd w:id="53"/>
      <w:bookmarkEnd w:id="5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55" w:name="_Toc8051032"/>
      <w:bookmarkStart w:id="56" w:name="_Toc2026551"/>
      <w:bookmarkStart w:id="57" w:name="_Toc11557"/>
      <w:r>
        <w:rPr>
          <w:rFonts w:hint="eastAsia" w:ascii="Times New Roman" w:hAnsi="Times New Roman" w:eastAsia="宋体"/>
          <w:b/>
          <w:bCs w:val="0"/>
          <w:color w:val="auto"/>
          <w:sz w:val="30"/>
          <w:highlight w:val="none"/>
        </w:rPr>
        <w:t>2.</w:t>
      </w:r>
      <w:r>
        <w:rPr>
          <w:rFonts w:hint="eastAsia" w:ascii="Times New Roman" w:hAnsi="Times New Roman" w:eastAsia="宋体"/>
          <w:b/>
          <w:bCs w:val="0"/>
          <w:color w:val="auto"/>
          <w:sz w:val="30"/>
          <w:highlight w:val="none"/>
          <w:lang w:val="en-US" w:eastAsia="zh-CN"/>
        </w:rPr>
        <w:t>6</w:t>
      </w:r>
      <w:r>
        <w:rPr>
          <w:rFonts w:hint="eastAsia" w:ascii="Times New Roman" w:hAnsi="Times New Roman" w:eastAsia="宋体"/>
          <w:b/>
          <w:bCs w:val="0"/>
          <w:color w:val="auto"/>
          <w:sz w:val="30"/>
          <w:highlight w:val="none"/>
        </w:rPr>
        <w:t>.1 环境空气评价工作等级</w:t>
      </w:r>
      <w:bookmarkEnd w:id="55"/>
      <w:bookmarkEnd w:id="56"/>
      <w:bookmarkEnd w:id="57"/>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根据对本项目的初步工程分析，选择主要污染物非甲烷总烃计算其最大地面浓度占标率Pi及第i个污染物的地面浓度达标准限值10%时对应的最远距离D</w:t>
      </w:r>
      <w:r>
        <w:rPr>
          <w:rFonts w:hint="eastAsia" w:ascii="Times New Roman" w:hAnsi="Times New Roman" w:eastAsia="宋体" w:cstheme="minorBidi"/>
          <w:color w:val="auto"/>
          <w:highlight w:val="none"/>
          <w:vertAlign w:val="subscript"/>
        </w:rPr>
        <w:t>10%</w:t>
      </w:r>
      <w:r>
        <w:rPr>
          <w:rFonts w:hint="eastAsia" w:ascii="Times New Roman" w:hAnsi="Times New Roman" w:eastAsia="宋体" w:cstheme="minorBidi"/>
          <w:color w:val="auto"/>
          <w:highlight w:val="none"/>
        </w:rPr>
        <w:t>。</w:t>
      </w:r>
    </w:p>
    <w:p>
      <w:pPr>
        <w:spacing w:line="360" w:lineRule="auto"/>
        <w:ind w:firstLine="0" w:firstLineChars="0"/>
        <w:jc w:val="center"/>
        <w:rPr>
          <w:rFonts w:ascii="Times New Roman" w:hAnsi="Times New Roman" w:eastAsia="宋体" w:cstheme="minorBidi"/>
          <w:color w:val="auto"/>
          <w:highlight w:val="none"/>
        </w:rPr>
      </w:pPr>
      <w:r>
        <w:rPr>
          <w:rFonts w:ascii="Times New Roman" w:hAnsi="Times New Roman" w:eastAsia="宋体" w:cstheme="minorBidi"/>
          <w:color w:val="auto"/>
          <w:highlight w:val="none"/>
        </w:rPr>
        <w:t>P</w:t>
      </w:r>
      <w:r>
        <w:rPr>
          <w:rFonts w:ascii="Times New Roman" w:hAnsi="Times New Roman" w:eastAsia="宋体" w:cstheme="minorBidi"/>
          <w:color w:val="auto"/>
          <w:highlight w:val="none"/>
          <w:vertAlign w:val="subscript"/>
        </w:rPr>
        <w:t>i</w:t>
      </w:r>
      <w:r>
        <w:rPr>
          <w:rFonts w:ascii="Times New Roman" w:hAnsi="Times New Roman" w:eastAsia="宋体" w:cstheme="minorBidi"/>
          <w:color w:val="auto"/>
          <w:highlight w:val="none"/>
        </w:rPr>
        <w:t>=C</w:t>
      </w:r>
      <w:r>
        <w:rPr>
          <w:rFonts w:ascii="Times New Roman" w:hAnsi="Times New Roman" w:eastAsia="宋体" w:cstheme="minorBidi"/>
          <w:color w:val="auto"/>
          <w:highlight w:val="none"/>
          <w:vertAlign w:val="subscript"/>
        </w:rPr>
        <w:t>i</w:t>
      </w:r>
      <w:r>
        <w:rPr>
          <w:rFonts w:ascii="Times New Roman" w:hAnsi="Times New Roman" w:eastAsia="宋体" w:cstheme="minorBidi"/>
          <w:color w:val="auto"/>
          <w:highlight w:val="none"/>
        </w:rPr>
        <w:t>/C</w:t>
      </w:r>
      <w:r>
        <w:rPr>
          <w:rFonts w:ascii="Times New Roman" w:hAnsi="Times New Roman" w:eastAsia="宋体" w:cstheme="minorBidi"/>
          <w:color w:val="auto"/>
          <w:highlight w:val="none"/>
          <w:vertAlign w:val="subscript"/>
        </w:rPr>
        <w:t>oi</w:t>
      </w:r>
      <w:r>
        <w:rPr>
          <w:rFonts w:ascii="Times New Roman" w:hAnsi="Times New Roman" w:eastAsia="宋体" w:cstheme="minorBidi"/>
          <w:color w:val="auto"/>
          <w:highlight w:val="none"/>
        </w:rPr>
        <w:t>×100%</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式中：P</w:t>
      </w:r>
      <w:r>
        <w:rPr>
          <w:rFonts w:hint="eastAsia" w:ascii="Times New Roman" w:hAnsi="Times New Roman" w:eastAsia="宋体" w:cstheme="minorBidi"/>
          <w:color w:val="auto"/>
          <w:highlight w:val="none"/>
          <w:vertAlign w:val="subscript"/>
        </w:rPr>
        <w:t>i</w:t>
      </w:r>
      <w:r>
        <w:rPr>
          <w:rFonts w:hint="eastAsia" w:ascii="Times New Roman" w:hAnsi="Times New Roman" w:eastAsia="宋体" w:cstheme="minorBidi"/>
          <w:color w:val="auto"/>
          <w:highlight w:val="none"/>
        </w:rPr>
        <w:t>—第i个污染物的最大地面浓度占标率，%；</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C</w:t>
      </w:r>
      <w:r>
        <w:rPr>
          <w:rFonts w:hint="eastAsia" w:ascii="Times New Roman" w:hAnsi="Times New Roman" w:eastAsia="宋体" w:cstheme="minorBidi"/>
          <w:color w:val="auto"/>
          <w:highlight w:val="none"/>
          <w:vertAlign w:val="subscript"/>
        </w:rPr>
        <w:t>i</w:t>
      </w:r>
      <w:r>
        <w:rPr>
          <w:rFonts w:hint="eastAsia" w:ascii="Times New Roman" w:hAnsi="Times New Roman" w:eastAsia="宋体" w:cstheme="minorBidi"/>
          <w:color w:val="auto"/>
          <w:highlight w:val="none"/>
        </w:rPr>
        <w:t>—采用估算模式计算出的第i个污染物的最大地面浓度，mg/m</w:t>
      </w:r>
      <w:r>
        <w:rPr>
          <w:rFonts w:hint="eastAsia" w:ascii="Times New Roman" w:hAnsi="Times New Roman" w:eastAsia="宋体" w:cstheme="minorBidi"/>
          <w:color w:val="auto"/>
          <w:highlight w:val="none"/>
          <w:vertAlign w:val="superscript"/>
        </w:rPr>
        <w:t>3</w:t>
      </w:r>
      <w:r>
        <w:rPr>
          <w:rFonts w:hint="eastAsia" w:ascii="Times New Roman" w:hAnsi="Times New Roman" w:eastAsia="宋体" w:cstheme="minorBidi"/>
          <w:color w:val="auto"/>
          <w:highlight w:val="none"/>
        </w:rPr>
        <w:t>；</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C</w:t>
      </w:r>
      <w:r>
        <w:rPr>
          <w:rFonts w:hint="eastAsia" w:ascii="Times New Roman" w:hAnsi="Times New Roman" w:eastAsia="宋体" w:cstheme="minorBidi"/>
          <w:color w:val="auto"/>
          <w:highlight w:val="none"/>
          <w:vertAlign w:val="subscript"/>
        </w:rPr>
        <w:t>oi</w:t>
      </w:r>
      <w:r>
        <w:rPr>
          <w:rFonts w:hint="eastAsia" w:ascii="Times New Roman" w:hAnsi="Times New Roman" w:eastAsia="宋体" w:cstheme="minorBidi"/>
          <w:color w:val="auto"/>
          <w:highlight w:val="none"/>
        </w:rPr>
        <w:t>—第i个污染物的环境空气质量标准，mg/m</w:t>
      </w:r>
      <w:r>
        <w:rPr>
          <w:rFonts w:hint="eastAsia" w:ascii="Times New Roman" w:hAnsi="Times New Roman" w:eastAsia="宋体" w:cstheme="minorBidi"/>
          <w:color w:val="auto"/>
          <w:highlight w:val="none"/>
          <w:vertAlign w:val="superscript"/>
        </w:rPr>
        <w:t>3</w:t>
      </w:r>
      <w:r>
        <w:rPr>
          <w:rFonts w:hint="eastAsia" w:ascii="Times New Roman" w:hAnsi="Times New Roman" w:eastAsia="宋体" w:cstheme="minorBidi"/>
          <w:color w:val="auto"/>
          <w:highlight w:val="none"/>
        </w:rPr>
        <w:t>。</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本评价采用估算模式（AERSCREEN）计算每种污染物的最大影响程度和D</w:t>
      </w:r>
      <w:r>
        <w:rPr>
          <w:rFonts w:hint="eastAsia" w:ascii="Times New Roman" w:hAnsi="Times New Roman" w:eastAsia="宋体" w:cstheme="minorBidi"/>
          <w:color w:val="auto"/>
          <w:highlight w:val="none"/>
          <w:vertAlign w:val="subscript"/>
        </w:rPr>
        <w:t>10%</w:t>
      </w:r>
      <w:r>
        <w:rPr>
          <w:rFonts w:hint="eastAsia" w:ascii="Times New Roman" w:hAnsi="Times New Roman" w:eastAsia="宋体" w:cstheme="minorBidi"/>
          <w:color w:val="auto"/>
          <w:highlight w:val="none"/>
        </w:rPr>
        <w:t>影响距离。</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评价等级评定依据见表2.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-1，本项目大气污染物源强类比同类企业数据确定，见表2.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-2。采用以上公式计算了</w:t>
      </w:r>
      <w:r>
        <w:rPr>
          <w:rFonts w:hint="eastAsia" w:eastAsia="宋体" w:cstheme="minorBidi"/>
          <w:color w:val="auto"/>
          <w:highlight w:val="none"/>
          <w:lang w:val="en-US" w:eastAsia="zh-CN"/>
        </w:rPr>
        <w:t>采砂场、原料砂堆场、成品堆场TSP</w:t>
      </w:r>
      <w:r>
        <w:rPr>
          <w:rFonts w:hint="eastAsia" w:ascii="Times New Roman" w:hAnsi="Times New Roman" w:eastAsia="宋体" w:cstheme="minorBidi"/>
          <w:color w:val="auto"/>
          <w:highlight w:val="none"/>
        </w:rPr>
        <w:t>的最大落地浓度，并计算了相应的浓度占标率，计算结果见表2.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w:t>
      </w:r>
      <w:r>
        <w:rPr>
          <w:rFonts w:hint="eastAsia" w:ascii="Times New Roman" w:hAnsi="Times New Roman" w:eastAsia="宋体" w:cstheme="minorBidi"/>
          <w:color w:val="auto"/>
          <w:highlight w:val="none"/>
          <w:lang w:val="en-US" w:eastAsia="zh-CN"/>
        </w:rPr>
        <w:t>4</w:t>
      </w:r>
      <w:r>
        <w:rPr>
          <w:rFonts w:hint="eastAsia" w:ascii="Times New Roman" w:hAnsi="Times New Roman" w:eastAsia="宋体" w:cstheme="minorBidi"/>
          <w:color w:val="auto"/>
          <w:highlight w:val="none"/>
        </w:rPr>
        <w:t>。</w:t>
      </w:r>
    </w:p>
    <w:p>
      <w:pPr>
        <w:spacing w:before="156" w:beforeLines="50" w:after="156" w:afterLines="50" w:line="360" w:lineRule="auto"/>
        <w:ind w:firstLine="0" w:firstLineChars="0"/>
        <w:jc w:val="center"/>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w:t>
      </w:r>
      <w:r>
        <w:rPr>
          <w:rFonts w:hint="eastAsia" w:ascii="Times New Roman" w:hAnsi="Times New Roman" w:eastAsia="宋体" w:cstheme="minorBidi"/>
          <w:b/>
          <w:bCs/>
          <w:color w:val="auto"/>
          <w:highlight w:val="none"/>
          <w:lang w:val="en-US" w:eastAsia="zh-CN"/>
        </w:rPr>
        <w:t>6</w:t>
      </w:r>
      <w:r>
        <w:rPr>
          <w:rFonts w:hint="eastAsia" w:ascii="Times New Roman" w:hAnsi="Times New Roman" w:eastAsia="宋体" w:cstheme="minorBidi"/>
          <w:b/>
          <w:bCs/>
          <w:color w:val="auto"/>
          <w:highlight w:val="none"/>
        </w:rPr>
        <w:t>-1    评价工作级别</w:t>
      </w:r>
      <w:r>
        <w:rPr>
          <w:rFonts w:hint="eastAsia" w:ascii="Times New Roman" w:hAnsi="Times New Roman" w:eastAsia="宋体" w:cstheme="minorBidi"/>
          <w:b/>
          <w:bCs/>
          <w:color w:val="auto"/>
          <w:highlight w:val="none"/>
          <w:lang w:eastAsia="zh-CN"/>
        </w:rPr>
        <w:t>（</w:t>
      </w:r>
      <w:r>
        <w:rPr>
          <w:rFonts w:hint="eastAsia" w:ascii="Times New Roman" w:hAnsi="Times New Roman" w:eastAsia="宋体" w:cstheme="minorBidi"/>
          <w:b/>
          <w:bCs/>
          <w:color w:val="auto"/>
          <w:highlight w:val="none"/>
        </w:rPr>
        <w:t>一、二、三级</w:t>
      </w:r>
      <w:r>
        <w:rPr>
          <w:rFonts w:hint="eastAsia" w:ascii="Times New Roman" w:hAnsi="Times New Roman" w:eastAsia="宋体" w:cstheme="minorBidi"/>
          <w:b/>
          <w:bCs/>
          <w:color w:val="auto"/>
          <w:highlight w:val="none"/>
          <w:lang w:eastAsia="zh-CN"/>
        </w:rPr>
        <w:t>）</w:t>
      </w:r>
    </w:p>
    <w:tbl>
      <w:tblPr>
        <w:tblStyle w:val="35"/>
        <w:tblW w:w="8362"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3689"/>
        <w:gridCol w:w="4673"/>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评价工作等级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评价工作分级判据</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一级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iCs/>
                <w:color w:val="auto"/>
                <w:sz w:val="21"/>
                <w:highlight w:val="none"/>
              </w:rPr>
              <w:t>Pmax≥10%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二级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1%≤Pmax＜10%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三级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iCs/>
                <w:color w:val="auto"/>
                <w:sz w:val="21"/>
                <w:highlight w:val="none"/>
              </w:rPr>
              <w:t>Pmax＜1%</w:t>
            </w:r>
          </w:p>
        </w:tc>
      </w:tr>
    </w:tbl>
    <w:p>
      <w:pPr>
        <w:spacing w:before="156" w:beforeLines="50" w:after="156" w:afterLines="50" w:line="360" w:lineRule="auto"/>
        <w:ind w:firstLine="0" w:firstLineChars="0"/>
        <w:jc w:val="center"/>
        <w:outlineLvl w:val="9"/>
        <w:rPr>
          <w:rFonts w:hint="default" w:ascii="Times New Roman" w:hAnsi="Times New Roman" w:eastAsia="宋体" w:cstheme="minorBidi"/>
          <w:b/>
          <w:color w:val="auto"/>
          <w:highlight w:val="none"/>
          <w:lang w:val="en-US" w:eastAsia="zh-CN"/>
        </w:rPr>
      </w:pPr>
      <w:r>
        <w:rPr>
          <w:rFonts w:hint="eastAsia" w:ascii="Times New Roman" w:hAnsi="Times New Roman" w:eastAsia="宋体" w:cstheme="minorBidi"/>
          <w:b/>
          <w:color w:val="auto"/>
          <w:highlight w:val="none"/>
        </w:rPr>
        <w:t>表2.</w:t>
      </w:r>
      <w:r>
        <w:rPr>
          <w:rFonts w:hint="eastAsia" w:ascii="Times New Roman" w:hAnsi="Times New Roman" w:eastAsia="宋体" w:cstheme="minorBidi"/>
          <w:b/>
          <w:color w:val="auto"/>
          <w:highlight w:val="none"/>
          <w:lang w:val="en-US" w:eastAsia="zh-CN"/>
        </w:rPr>
        <w:t>6</w:t>
      </w:r>
      <w:r>
        <w:rPr>
          <w:rFonts w:hint="eastAsia" w:ascii="Times New Roman" w:hAnsi="Times New Roman" w:eastAsia="宋体" w:cstheme="minorBidi"/>
          <w:b/>
          <w:color w:val="auto"/>
          <w:highlight w:val="none"/>
        </w:rPr>
        <w:t xml:space="preserve">-2  </w:t>
      </w:r>
      <w:r>
        <w:rPr>
          <w:rFonts w:hint="eastAsia" w:ascii="Times New Roman" w:hAnsi="Times New Roman" w:eastAsia="宋体" w:cstheme="minorBidi"/>
          <w:b/>
          <w:color w:val="auto"/>
          <w:highlight w:val="none"/>
          <w:lang w:val="en-US" w:eastAsia="zh-CN"/>
        </w:rPr>
        <w:t xml:space="preserve"> 废气污染源参数表（面源）</w:t>
      </w:r>
    </w:p>
    <w:tbl>
      <w:tblPr>
        <w:tblStyle w:val="36"/>
        <w:tblW w:w="9131"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248"/>
        <w:gridCol w:w="1113"/>
        <w:gridCol w:w="762"/>
        <w:gridCol w:w="725"/>
        <w:gridCol w:w="650"/>
        <w:gridCol w:w="1113"/>
        <w:gridCol w:w="850"/>
        <w:gridCol w:w="13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81"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污染源名称</w:t>
            </w:r>
          </w:p>
        </w:tc>
        <w:tc>
          <w:tcPr>
            <w:tcW w:w="2361" w:type="dxa"/>
            <w:gridSpan w:val="2"/>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左下角坐标(o)</w:t>
            </w:r>
          </w:p>
        </w:tc>
        <w:tc>
          <w:tcPr>
            <w:tcW w:w="762"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海拔高度(m)</w:t>
            </w:r>
          </w:p>
        </w:tc>
        <w:tc>
          <w:tcPr>
            <w:tcW w:w="2488" w:type="dxa"/>
            <w:gridSpan w:val="3"/>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矩形面源</w:t>
            </w:r>
          </w:p>
        </w:tc>
        <w:tc>
          <w:tcPr>
            <w:tcW w:w="850"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污染物</w:t>
            </w:r>
          </w:p>
        </w:tc>
        <w:tc>
          <w:tcPr>
            <w:tcW w:w="1389"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排放速率（kg/h）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281"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762"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长度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宽度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有效高度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850"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389"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采砂场扬尘</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112.866120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42.470589</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1144</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75</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100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w:t>
            </w:r>
            <w:r>
              <w:rPr>
                <w:rFonts w:hint="eastAsia" w:eastAsia="宋体"/>
                <w:color w:val="FF0000"/>
                <w:sz w:val="21"/>
                <w:szCs w:val="21"/>
                <w:highlight w:val="none"/>
                <w:lang w:val="en-US" w:eastAsia="zh-CN"/>
              </w:rPr>
              <w:t>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回填区扬尘</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112.863625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42.471167</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1149</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30</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20</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筛分粉尘</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112.865179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42.470539</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1142</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12</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成品堆场</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112.865720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42.470963</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1148</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66</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47</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0.000110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运输道路</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112.863259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42.469405</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1140</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200</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0.0003</w:t>
            </w:r>
            <w:r>
              <w:rPr>
                <w:rFonts w:hint="eastAsia" w:eastAsia="宋体"/>
                <w:color w:val="FF0000"/>
                <w:sz w:val="21"/>
                <w:szCs w:val="21"/>
                <w:highlight w:val="none"/>
                <w:lang w:val="en-US" w:eastAsia="zh-CN"/>
              </w:rPr>
              <w:t>28</w:t>
            </w:r>
          </w:p>
        </w:tc>
      </w:tr>
    </w:tbl>
    <w:p>
      <w:pPr>
        <w:pStyle w:val="13"/>
        <w:keepNext w:val="0"/>
        <w:keepLines w:val="0"/>
        <w:pageBreakBefore w:val="0"/>
        <w:widowControl w:val="0"/>
        <w:kinsoku/>
        <w:wordWrap/>
        <w:overflowPunct/>
        <w:topLinePunct w:val="0"/>
        <w:autoSpaceDE/>
        <w:autoSpaceDN/>
        <w:bidi w:val="0"/>
        <w:adjustRightInd/>
        <w:snapToGrid/>
        <w:spacing w:before="40" w:line="360" w:lineRule="auto"/>
        <w:ind w:left="0" w:leftChars="0" w:right="142" w:firstLine="0" w:firstLineChars="0"/>
        <w:jc w:val="left"/>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 xml:space="preserve">    采用《环境影响评价技术导则 大气环境》（HJ2.2-2018）推荐的AERSCREEN模型估算，估算模型参数表详见2.6-4，估算结果见表2.6-5。</w:t>
      </w:r>
    </w:p>
    <w:p>
      <w:pPr>
        <w:tabs>
          <w:tab w:val="left" w:pos="1039"/>
        </w:tabs>
        <w:spacing w:before="56" w:line="240" w:lineRule="auto"/>
        <w:ind w:left="0" w:right="12"/>
        <w:jc w:val="center"/>
        <w:outlineLvl w:val="9"/>
        <w:rPr>
          <w:rFonts w:hint="default" w:ascii="Times New Roman" w:hAnsi="Times New Roman" w:eastAsia="宋体"/>
          <w:b/>
          <w:bCs/>
          <w:sz w:val="24"/>
          <w:highlight w:val="none"/>
          <w:lang w:val="en-US" w:eastAsia="zh-CN"/>
        </w:rPr>
      </w:pPr>
      <w:r>
        <w:rPr>
          <w:rFonts w:hint="eastAsia" w:ascii="Times New Roman" w:hAnsi="Times New Roman" w:eastAsia="宋体"/>
          <w:b/>
          <w:bCs/>
          <w:sz w:val="24"/>
          <w:highlight w:val="none"/>
          <w:lang w:val="en-US" w:eastAsia="zh-CN"/>
        </w:rPr>
        <w:t xml:space="preserve">表2.6-4 估算模型参数表  </w:t>
      </w:r>
    </w:p>
    <w:tbl>
      <w:tblPr>
        <w:tblStyle w:val="35"/>
        <w:tblW w:w="0" w:type="auto"/>
        <w:tblInd w:w="101"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6"/>
        <w:gridCol w:w="3090"/>
        <w:gridCol w:w="234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exact"/>
        </w:trPr>
        <w:tc>
          <w:tcPr>
            <w:tcW w:w="5716" w:type="dxa"/>
            <w:gridSpan w:val="2"/>
            <w:tcBorders>
              <w:tl2br w:val="nil"/>
              <w:tr2bl w:val="nil"/>
            </w:tcBorders>
            <w:vAlign w:val="center"/>
          </w:tcPr>
          <w:p>
            <w:pPr>
              <w:pStyle w:val="118"/>
              <w:spacing w:before="33"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参数</w:t>
            </w:r>
          </w:p>
        </w:tc>
        <w:tc>
          <w:tcPr>
            <w:tcW w:w="234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取值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2626"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城市农村</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选项</w:t>
            </w:r>
          </w:p>
        </w:tc>
        <w:tc>
          <w:tcPr>
            <w:tcW w:w="3090" w:type="dxa"/>
            <w:tcBorders>
              <w:tl2br w:val="nil"/>
              <w:tr2bl w:val="nil"/>
            </w:tcBorders>
            <w:vAlign w:val="center"/>
          </w:tcPr>
          <w:p>
            <w:pPr>
              <w:pStyle w:val="118"/>
              <w:spacing w:before="28"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城市</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农村</w:t>
            </w:r>
          </w:p>
        </w:tc>
        <w:tc>
          <w:tcPr>
            <w:tcW w:w="2348" w:type="dxa"/>
            <w:tcBorders>
              <w:tl2br w:val="nil"/>
              <w:tr2bl w:val="nil"/>
            </w:tcBorders>
            <w:vAlign w:val="center"/>
          </w:tcPr>
          <w:p>
            <w:pPr>
              <w:pStyle w:val="118"/>
              <w:spacing w:before="28"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农村</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30"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宋体" w:cs="宋体"/>
                <w:sz w:val="21"/>
                <w:szCs w:val="21"/>
                <w:highlight w:val="none"/>
              </w:rPr>
              <w:t>人口数</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城市人口数</w:t>
            </w:r>
            <w:r>
              <w:rPr>
                <w:rFonts w:hint="default" w:ascii="Times New Roman" w:hAnsi="Times New Roman" w:eastAsia="Times New Roman" w:cs="Times New Roman"/>
                <w:sz w:val="21"/>
                <w:szCs w:val="21"/>
                <w:highlight w:val="none"/>
              </w:rPr>
              <w:t>)</w:t>
            </w:r>
          </w:p>
        </w:tc>
        <w:tc>
          <w:tcPr>
            <w:tcW w:w="2348" w:type="dxa"/>
            <w:tcBorders>
              <w:tl2br w:val="nil"/>
              <w:tr2bl w:val="nil"/>
            </w:tcBorders>
            <w:vAlign w:val="center"/>
          </w:tcPr>
          <w:p>
            <w:pPr>
              <w:pStyle w:val="118"/>
              <w:spacing w:before="79"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5716" w:type="dxa"/>
            <w:gridSpan w:val="2"/>
            <w:tcBorders>
              <w:tl2br w:val="nil"/>
              <w:tr2bl w:val="nil"/>
            </w:tcBorders>
            <w:vAlign w:val="center"/>
          </w:tcPr>
          <w:p>
            <w:pPr>
              <w:pStyle w:val="118"/>
              <w:spacing w:before="27"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最高环境温度</w:t>
            </w:r>
          </w:p>
        </w:tc>
        <w:tc>
          <w:tcPr>
            <w:tcW w:w="2348" w:type="dxa"/>
            <w:tcBorders>
              <w:tl2br w:val="nil"/>
              <w:tr2bl w:val="nil"/>
            </w:tcBorders>
            <w:vAlign w:val="center"/>
          </w:tcPr>
          <w:p>
            <w:pPr>
              <w:pStyle w:val="118"/>
              <w:spacing w:before="76"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hint="eastAsia" w:eastAsia="宋体" w:cs="Times New Roman"/>
                <w:sz w:val="21"/>
                <w:szCs w:val="21"/>
                <w:highlight w:val="none"/>
                <w:lang w:val="en-US" w:eastAsia="zh-CN"/>
              </w:rPr>
              <w:t>40.4</w:t>
            </w:r>
            <w:r>
              <w:rPr>
                <w:rFonts w:hint="default" w:ascii="Times New Roman" w:hAnsi="Times New Roman" w:eastAsia="Times New Roman" w:cs="Times New Roman"/>
                <w:sz w:val="21"/>
                <w:szCs w:val="21"/>
                <w:highlight w:val="none"/>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5716" w:type="dxa"/>
            <w:gridSpan w:val="2"/>
            <w:tcBorders>
              <w:tl2br w:val="nil"/>
              <w:tr2bl w:val="nil"/>
            </w:tcBorders>
            <w:vAlign w:val="center"/>
          </w:tcPr>
          <w:p>
            <w:pPr>
              <w:pStyle w:val="118"/>
              <w:spacing w:before="29"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最低环境温度</w:t>
            </w:r>
          </w:p>
        </w:tc>
        <w:tc>
          <w:tcPr>
            <w:tcW w:w="2348" w:type="dxa"/>
            <w:tcBorders>
              <w:tl2br w:val="nil"/>
              <w:tr2bl w:val="nil"/>
            </w:tcBorders>
            <w:vAlign w:val="center"/>
          </w:tcPr>
          <w:p>
            <w:pPr>
              <w:pStyle w:val="118"/>
              <w:spacing w:before="78"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-3</w:t>
            </w:r>
            <w:r>
              <w:rPr>
                <w:rFonts w:hint="eastAsia" w:eastAsia="宋体" w:cs="Times New Roman"/>
                <w:sz w:val="21"/>
                <w:szCs w:val="21"/>
                <w:highlight w:val="none"/>
                <w:lang w:val="en-US" w:eastAsia="zh-CN"/>
              </w:rPr>
              <w:t>7.2</w:t>
            </w:r>
            <w:r>
              <w:rPr>
                <w:rFonts w:hint="default" w:ascii="Times New Roman" w:hAnsi="Times New Roman" w:eastAsia="Times New Roman" w:cs="Times New Roman"/>
                <w:sz w:val="21"/>
                <w:szCs w:val="21"/>
                <w:highlight w:val="none"/>
              </w:rPr>
              <w:t>°C</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5716" w:type="dxa"/>
            <w:gridSpan w:val="2"/>
            <w:tcBorders>
              <w:tl2br w:val="nil"/>
              <w:tr2bl w:val="nil"/>
            </w:tcBorders>
            <w:vAlign w:val="center"/>
          </w:tcPr>
          <w:p>
            <w:pPr>
              <w:pStyle w:val="118"/>
              <w:spacing w:before="29"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土地利用类型</w:t>
            </w:r>
          </w:p>
        </w:tc>
        <w:tc>
          <w:tcPr>
            <w:tcW w:w="2348" w:type="dxa"/>
            <w:tcBorders>
              <w:tl2br w:val="nil"/>
              <w:tr2bl w:val="nil"/>
            </w:tcBorders>
            <w:vAlign w:val="center"/>
          </w:tcPr>
          <w:p>
            <w:pPr>
              <w:pStyle w:val="118"/>
              <w:spacing w:before="29"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草地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5716" w:type="dxa"/>
            <w:gridSpan w:val="2"/>
            <w:tcBorders>
              <w:tl2br w:val="nil"/>
              <w:tr2bl w:val="nil"/>
            </w:tcBorders>
            <w:vAlign w:val="center"/>
          </w:tcPr>
          <w:p>
            <w:pPr>
              <w:pStyle w:val="118"/>
              <w:spacing w:before="27"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区域湿度条件</w:t>
            </w:r>
          </w:p>
        </w:tc>
        <w:tc>
          <w:tcPr>
            <w:tcW w:w="2348" w:type="dxa"/>
            <w:tcBorders>
              <w:tl2br w:val="nil"/>
              <w:tr2bl w:val="nil"/>
            </w:tcBorders>
            <w:vAlign w:val="center"/>
          </w:tcPr>
          <w:p>
            <w:pPr>
              <w:pStyle w:val="118"/>
              <w:spacing w:before="27"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中等湿度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626"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是否考虑地形</w:t>
            </w:r>
          </w:p>
        </w:tc>
        <w:tc>
          <w:tcPr>
            <w:tcW w:w="3090" w:type="dxa"/>
            <w:tcBorders>
              <w:tl2br w:val="nil"/>
              <w:tr2bl w:val="nil"/>
            </w:tcBorders>
            <w:vAlign w:val="center"/>
          </w:tcPr>
          <w:p>
            <w:pPr>
              <w:pStyle w:val="118"/>
              <w:spacing w:before="29"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考虑地形</w:t>
            </w:r>
          </w:p>
        </w:tc>
        <w:tc>
          <w:tcPr>
            <w:tcW w:w="2348" w:type="dxa"/>
            <w:tcBorders>
              <w:tl2br w:val="nil"/>
              <w:tr2bl w:val="nil"/>
            </w:tcBorders>
            <w:vAlign w:val="center"/>
          </w:tcPr>
          <w:p>
            <w:pPr>
              <w:pStyle w:val="118"/>
              <w:spacing w:before="29" w:line="240" w:lineRule="auto"/>
              <w:ind w:left="0" w:leftChars="0" w:right="1" w:firstLine="0" w:firstLineChars="0"/>
              <w:jc w:val="center"/>
              <w:rPr>
                <w:rFonts w:hint="default" w:ascii="Times New Roman" w:hAnsi="Times New Roman" w:eastAsia="宋体" w:cs="宋体"/>
                <w:sz w:val="21"/>
                <w:szCs w:val="21"/>
                <w:highlight w:val="none"/>
                <w:lang w:val="en-US" w:eastAsia="zh-CN"/>
              </w:rPr>
            </w:pPr>
            <w:r>
              <w:rPr>
                <w:rFonts w:hint="eastAsia" w:ascii="Times New Roman" w:hAnsi="Times New Roman" w:eastAsia="宋体" w:cs="宋体"/>
                <w:w w:val="99"/>
                <w:sz w:val="21"/>
                <w:szCs w:val="21"/>
                <w:highlight w:val="none"/>
                <w:lang w:val="en-US" w:eastAsia="zh-CN"/>
              </w:rPr>
              <w:t>是</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29"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宋体" w:cs="宋体"/>
                <w:sz w:val="21"/>
                <w:szCs w:val="21"/>
                <w:highlight w:val="none"/>
              </w:rPr>
              <w:t>地形数据分辨率</w:t>
            </w:r>
            <w:r>
              <w:rPr>
                <w:rFonts w:hint="default" w:ascii="Times New Roman" w:hAnsi="Times New Roman" w:eastAsia="Times New Roman" w:cs="Times New Roman"/>
                <w:sz w:val="21"/>
                <w:szCs w:val="21"/>
                <w:highlight w:val="none"/>
              </w:rPr>
              <w:t>(m)</w:t>
            </w:r>
          </w:p>
        </w:tc>
        <w:tc>
          <w:tcPr>
            <w:tcW w:w="2348" w:type="dxa"/>
            <w:tcBorders>
              <w:tl2br w:val="nil"/>
              <w:tr2bl w:val="nil"/>
            </w:tcBorders>
            <w:vAlign w:val="center"/>
          </w:tcPr>
          <w:p>
            <w:pPr>
              <w:pStyle w:val="118"/>
              <w:spacing w:before="7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w w:val="99"/>
                <w:sz w:val="21"/>
                <w:highlight w:val="none"/>
                <w:lang w:val="en-US" w:eastAsia="zh-CN"/>
              </w:rPr>
              <w:t>90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626" w:type="dxa"/>
            <w:vMerge w:val="restart"/>
            <w:tcBorders>
              <w:tl2br w:val="nil"/>
              <w:tr2bl w:val="nil"/>
            </w:tcBorders>
            <w:vAlign w:val="center"/>
          </w:tcPr>
          <w:p>
            <w:pPr>
              <w:pStyle w:val="118"/>
              <w:spacing w:line="240" w:lineRule="auto"/>
              <w:ind w:right="0"/>
              <w:jc w:val="center"/>
              <w:rPr>
                <w:rFonts w:hint="default" w:ascii="Times New Roman" w:hAnsi="Times New Roman" w:eastAsia="宋体" w:cs="宋体"/>
                <w:b/>
                <w:bCs/>
                <w:sz w:val="20"/>
                <w:szCs w:val="20"/>
                <w:highlight w:val="none"/>
              </w:rPr>
            </w:pPr>
          </w:p>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是否考虑岸线熏烟</w:t>
            </w:r>
          </w:p>
        </w:tc>
        <w:tc>
          <w:tcPr>
            <w:tcW w:w="3090" w:type="dxa"/>
            <w:tcBorders>
              <w:tl2br w:val="nil"/>
              <w:tr2bl w:val="nil"/>
            </w:tcBorders>
            <w:vAlign w:val="center"/>
          </w:tcPr>
          <w:p>
            <w:pPr>
              <w:pStyle w:val="118"/>
              <w:spacing w:before="28"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考虑岸线熏烟</w:t>
            </w:r>
          </w:p>
        </w:tc>
        <w:tc>
          <w:tcPr>
            <w:tcW w:w="2348" w:type="dxa"/>
            <w:tcBorders>
              <w:tl2br w:val="nil"/>
              <w:tr2bl w:val="nil"/>
            </w:tcBorders>
            <w:vAlign w:val="center"/>
          </w:tcPr>
          <w:p>
            <w:pPr>
              <w:pStyle w:val="118"/>
              <w:spacing w:before="28"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38"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宋体" w:cs="宋体"/>
                <w:sz w:val="21"/>
                <w:szCs w:val="21"/>
                <w:highlight w:val="none"/>
              </w:rPr>
              <w:t>岸线距离</w:t>
            </w:r>
            <w:r>
              <w:rPr>
                <w:rFonts w:hint="default" w:ascii="Times New Roman" w:hAnsi="Times New Roman" w:eastAsia="Times New Roman" w:cs="Times New Roman"/>
                <w:sz w:val="21"/>
                <w:szCs w:val="21"/>
                <w:highlight w:val="none"/>
              </w:rPr>
              <w:t>/km</w:t>
            </w:r>
          </w:p>
        </w:tc>
        <w:tc>
          <w:tcPr>
            <w:tcW w:w="2348" w:type="dxa"/>
            <w:tcBorders>
              <w:tl2br w:val="nil"/>
              <w:tr2bl w:val="nil"/>
            </w:tcBorders>
            <w:vAlign w:val="center"/>
          </w:tcPr>
          <w:p>
            <w:pPr>
              <w:pStyle w:val="118"/>
              <w:spacing w:before="87"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43" w:line="240" w:lineRule="auto"/>
              <w:ind w:left="0" w:leftChars="0" w:right="0" w:firstLine="0" w:firstLineChars="0"/>
              <w:jc w:val="center"/>
              <w:rPr>
                <w:rFonts w:hint="default" w:ascii="Times New Roman" w:hAnsi="Times New Roman" w:eastAsia="Times New Roman" w:cs="Times New Roman"/>
                <w:sz w:val="13"/>
                <w:szCs w:val="13"/>
                <w:highlight w:val="none"/>
              </w:rPr>
            </w:pPr>
            <w:r>
              <w:rPr>
                <w:rFonts w:hint="default" w:ascii="Times New Roman" w:hAnsi="Times New Roman" w:eastAsia="宋体" w:cs="宋体"/>
                <w:sz w:val="21"/>
                <w:szCs w:val="21"/>
                <w:highlight w:val="none"/>
              </w:rPr>
              <w:t>岸线方向</w:t>
            </w:r>
            <w:r>
              <w:rPr>
                <w:rFonts w:hint="default" w:ascii="Times New Roman" w:hAnsi="Times New Roman" w:eastAsia="Times New Roman" w:cs="Times New Roman"/>
                <w:sz w:val="21"/>
                <w:szCs w:val="21"/>
                <w:highlight w:val="none"/>
              </w:rPr>
              <w:t>/</w:t>
            </w:r>
            <w:r>
              <w:rPr>
                <w:rFonts w:hint="default" w:ascii="Times New Roman" w:hAnsi="Times New Roman" w:eastAsia="Times New Roman" w:cs="Times New Roman"/>
                <w:position w:val="7"/>
                <w:sz w:val="13"/>
                <w:szCs w:val="13"/>
                <w:highlight w:val="none"/>
              </w:rPr>
              <w:t>o</w:t>
            </w:r>
          </w:p>
        </w:tc>
        <w:tc>
          <w:tcPr>
            <w:tcW w:w="2348" w:type="dxa"/>
            <w:tcBorders>
              <w:tl2br w:val="nil"/>
              <w:tr2bl w:val="nil"/>
            </w:tcBorders>
            <w:vAlign w:val="center"/>
          </w:tcPr>
          <w:p>
            <w:pPr>
              <w:pStyle w:val="118"/>
              <w:spacing w:before="92"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w:t>
            </w:r>
          </w:p>
        </w:tc>
      </w:tr>
    </w:tbl>
    <w:p>
      <w:pPr>
        <w:spacing w:before="156" w:beforeLines="50" w:after="156" w:afterLines="50" w:line="360" w:lineRule="auto"/>
        <w:ind w:firstLine="0" w:firstLineChars="0"/>
        <w:jc w:val="center"/>
        <w:rPr>
          <w:rFonts w:ascii="Times New Roman" w:hAnsi="Times New Roman" w:eastAsia="宋体" w:cstheme="minorBidi"/>
          <w:b/>
          <w:color w:val="auto"/>
          <w:highlight w:val="none"/>
        </w:rPr>
      </w:pPr>
      <w:r>
        <w:rPr>
          <w:rFonts w:hint="eastAsia" w:ascii="Times New Roman" w:hAnsi="Times New Roman" w:eastAsia="宋体" w:cstheme="minorBidi"/>
          <w:b/>
          <w:color w:val="auto"/>
          <w:highlight w:val="none"/>
        </w:rPr>
        <w:t>表2.</w:t>
      </w:r>
      <w:r>
        <w:rPr>
          <w:rFonts w:hint="eastAsia" w:ascii="Times New Roman" w:hAnsi="Times New Roman" w:eastAsia="宋体" w:cstheme="minorBidi"/>
          <w:b/>
          <w:color w:val="auto"/>
          <w:highlight w:val="none"/>
          <w:lang w:val="en-US" w:eastAsia="zh-CN"/>
        </w:rPr>
        <w:t>6</w:t>
      </w:r>
      <w:r>
        <w:rPr>
          <w:rFonts w:hint="eastAsia" w:ascii="Times New Roman" w:hAnsi="Times New Roman" w:eastAsia="宋体" w:cstheme="minorBidi"/>
          <w:b/>
          <w:color w:val="auto"/>
          <w:highlight w:val="none"/>
        </w:rPr>
        <w:t>-</w:t>
      </w:r>
      <w:r>
        <w:rPr>
          <w:rFonts w:hint="eastAsia" w:ascii="Times New Roman" w:hAnsi="Times New Roman" w:eastAsia="宋体" w:cstheme="minorBidi"/>
          <w:b/>
          <w:color w:val="auto"/>
          <w:highlight w:val="none"/>
          <w:lang w:val="en-US" w:eastAsia="zh-CN"/>
        </w:rPr>
        <w:t>5</w:t>
      </w:r>
      <w:r>
        <w:rPr>
          <w:rFonts w:hint="eastAsia" w:ascii="Times New Roman" w:hAnsi="Times New Roman" w:eastAsia="宋体" w:cstheme="minorBidi"/>
          <w:b/>
          <w:color w:val="auto"/>
          <w:highlight w:val="none"/>
        </w:rPr>
        <w:t xml:space="preserve">    本项目评价工作级别确定表</w:t>
      </w:r>
    </w:p>
    <w:tbl>
      <w:tblPr>
        <w:tblStyle w:val="36"/>
        <w:tblW w:w="8513"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888"/>
        <w:gridCol w:w="1137"/>
        <w:gridCol w:w="1274"/>
        <w:gridCol w:w="1277"/>
        <w:gridCol w:w="1272"/>
        <w:gridCol w:w="126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污染源名称</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评价因子</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评价标准(</w:t>
            </w:r>
            <w:r>
              <w:rPr>
                <w:rFonts w:hint="default" w:ascii="Times New Roman" w:hAnsi="Times New Roman" w:eastAsia="宋体" w:cs="Times New Roman"/>
                <w:color w:val="auto"/>
                <w:sz w:val="21"/>
                <w:szCs w:val="21"/>
                <w:highlight w:val="none"/>
              </w:rPr>
              <w:t>μ</w:t>
            </w:r>
            <w:r>
              <w:rPr>
                <w:rFonts w:hint="eastAsia" w:ascii="Times New Roman" w:hAnsi="Times New Roman" w:eastAsia="宋体" w:cstheme="minorBidi"/>
                <w:color w:val="auto"/>
                <w:sz w:val="21"/>
                <w:szCs w:val="21"/>
                <w:highlight w:val="none"/>
              </w:rPr>
              <w:t>g/m</w:t>
            </w:r>
            <w:r>
              <w:rPr>
                <w:rFonts w:hint="eastAsia" w:ascii="Times New Roman" w:hAnsi="Times New Roman" w:eastAsia="宋体" w:cstheme="minorBidi"/>
                <w:color w:val="auto"/>
                <w:sz w:val="21"/>
                <w:szCs w:val="21"/>
                <w:highlight w:val="none"/>
                <w:vertAlign w:val="superscript"/>
              </w:rPr>
              <w:t>3</w:t>
            </w:r>
            <w:r>
              <w:rPr>
                <w:rFonts w:hint="eastAsia" w:ascii="Times New Roman" w:hAnsi="Times New Roman" w:eastAsia="宋体" w:cstheme="minorBidi"/>
                <w:color w:val="auto"/>
                <w:sz w:val="21"/>
                <w:szCs w:val="21"/>
                <w:highlight w:val="none"/>
              </w:rPr>
              <w:t>)</w:t>
            </w:r>
          </w:p>
        </w:tc>
        <w:tc>
          <w:tcPr>
            <w:tcW w:w="127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Cmax</w:t>
            </w:r>
          </w:p>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w:t>
            </w:r>
            <w:r>
              <w:rPr>
                <w:rFonts w:hint="default" w:ascii="Times New Roman" w:hAnsi="Times New Roman" w:eastAsia="宋体" w:cs="Times New Roman"/>
                <w:color w:val="auto"/>
                <w:sz w:val="21"/>
                <w:szCs w:val="21"/>
                <w:highlight w:val="none"/>
              </w:rPr>
              <w:t>μg</w:t>
            </w:r>
            <w:r>
              <w:rPr>
                <w:rFonts w:hint="eastAsia" w:ascii="Times New Roman" w:hAnsi="Times New Roman" w:eastAsia="宋体" w:cstheme="minorBidi"/>
                <w:color w:val="auto"/>
                <w:sz w:val="21"/>
                <w:szCs w:val="21"/>
                <w:highlight w:val="none"/>
              </w:rPr>
              <w:t>/m</w:t>
            </w:r>
            <w:r>
              <w:rPr>
                <w:rFonts w:hint="eastAsia" w:ascii="Times New Roman" w:hAnsi="Times New Roman" w:eastAsia="宋体" w:cstheme="minorBidi"/>
                <w:color w:val="auto"/>
                <w:sz w:val="21"/>
                <w:szCs w:val="21"/>
                <w:highlight w:val="none"/>
                <w:vertAlign w:val="superscript"/>
              </w:rPr>
              <w:t>3</w:t>
            </w:r>
            <w:r>
              <w:rPr>
                <w:rFonts w:hint="eastAsia" w:ascii="Times New Roman" w:hAnsi="Times New Roman" w:eastAsia="宋体" w:cstheme="minorBidi"/>
                <w:color w:val="auto"/>
                <w:sz w:val="21"/>
                <w:szCs w:val="21"/>
                <w:highlight w:val="none"/>
              </w:rPr>
              <w:t>)</w:t>
            </w:r>
          </w:p>
        </w:tc>
        <w:tc>
          <w:tcPr>
            <w:tcW w:w="127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Pmax</w:t>
            </w:r>
          </w:p>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D10%</w:t>
            </w:r>
          </w:p>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(m)</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eastAsia="zh-CN"/>
              </w:rPr>
            </w:pPr>
            <w:r>
              <w:rPr>
                <w:rFonts w:hint="eastAsia" w:ascii="Times New Roman" w:hAnsi="Times New Roman" w:eastAsia="宋体" w:cstheme="minorBidi"/>
                <w:color w:val="auto"/>
                <w:sz w:val="21"/>
                <w:szCs w:val="21"/>
                <w:highlight w:val="none"/>
                <w:lang w:eastAsia="zh-CN"/>
              </w:rPr>
              <w:t>评价等级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eastAsia="宋体" w:cstheme="minorBidi"/>
                <w:color w:val="FF0000"/>
                <w:sz w:val="21"/>
                <w:szCs w:val="21"/>
                <w:highlight w:val="none"/>
                <w:lang w:val="en-US" w:eastAsia="zh-CN"/>
              </w:rPr>
              <w:t>采砂场</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ascii="Times New Roman" w:hAnsi="Times New Roman"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rPr>
            </w:pPr>
            <w:r>
              <w:rPr>
                <w:rFonts w:hint="eastAsia" w:eastAsia="宋体" w:cstheme="minorBidi"/>
                <w:color w:val="FF0000"/>
                <w:sz w:val="21"/>
                <w:szCs w:val="21"/>
                <w:highlight w:val="none"/>
                <w:lang w:val="en-US" w:eastAsia="zh-CN"/>
              </w:rPr>
              <w:t>73.63</w:t>
            </w:r>
          </w:p>
        </w:tc>
        <w:tc>
          <w:tcPr>
            <w:tcW w:w="127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rPr>
            </w:pPr>
            <w:r>
              <w:rPr>
                <w:rFonts w:hint="eastAsia" w:eastAsia="宋体" w:cstheme="minorBidi"/>
                <w:color w:val="FF0000"/>
                <w:sz w:val="21"/>
                <w:szCs w:val="21"/>
                <w:highlight w:val="none"/>
                <w:lang w:val="en-US" w:eastAsia="zh-CN"/>
              </w:rPr>
              <w:t>8.18</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rPr>
              <w:t>/</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eastAsia="宋体" w:cstheme="minorBidi"/>
                <w:color w:val="FF0000"/>
                <w:sz w:val="21"/>
                <w:szCs w:val="21"/>
                <w:highlight w:val="none"/>
                <w:lang w:val="en-US" w:eastAsia="zh-CN"/>
              </w:rPr>
              <w:t>二</w:t>
            </w:r>
            <w:r>
              <w:rPr>
                <w:rFonts w:hint="eastAsia" w:ascii="Times New Roman" w:hAnsi="Times New Roman" w:eastAsia="宋体" w:cstheme="minorBidi"/>
                <w:color w:val="FF0000"/>
                <w:sz w:val="21"/>
                <w:szCs w:val="21"/>
                <w:highlight w:val="none"/>
                <w:lang w:eastAsia="zh-CN"/>
              </w:rPr>
              <w:t>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回填区扬尘</w:t>
            </w:r>
          </w:p>
        </w:tc>
        <w:tc>
          <w:tcPr>
            <w:tcW w:w="888"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0.07</w:t>
            </w:r>
          </w:p>
        </w:tc>
        <w:tc>
          <w:tcPr>
            <w:tcW w:w="1277"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0.01</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w:t>
            </w:r>
          </w:p>
        </w:tc>
        <w:tc>
          <w:tcPr>
            <w:tcW w:w="1269"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三级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筛分粉尘</w:t>
            </w:r>
          </w:p>
        </w:tc>
        <w:tc>
          <w:tcPr>
            <w:tcW w:w="888"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62.93</w:t>
            </w:r>
          </w:p>
        </w:tc>
        <w:tc>
          <w:tcPr>
            <w:tcW w:w="1277"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6.99</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w:t>
            </w:r>
          </w:p>
        </w:tc>
        <w:tc>
          <w:tcPr>
            <w:tcW w:w="1269"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二级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ascii="Times New Roman" w:hAnsi="Times New Roman" w:eastAsia="宋体" w:cstheme="minorBidi"/>
                <w:color w:val="FF0000"/>
                <w:sz w:val="21"/>
                <w:szCs w:val="21"/>
                <w:highlight w:val="none"/>
                <w:lang w:eastAsia="zh-CN"/>
              </w:rPr>
              <w:t>运输道路</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ascii="Times New Roman" w:hAnsi="Times New Roman"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58.53</w:t>
            </w:r>
          </w:p>
        </w:tc>
        <w:tc>
          <w:tcPr>
            <w:tcW w:w="127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6.50</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rPr>
              <w:t>/</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lang w:eastAsia="zh-CN"/>
              </w:rPr>
              <w:t>二级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eastAsia="zh-CN"/>
              </w:rPr>
            </w:pPr>
            <w:r>
              <w:rPr>
                <w:rFonts w:hint="eastAsia" w:eastAsia="宋体" w:cstheme="minorBidi"/>
                <w:color w:val="auto"/>
                <w:sz w:val="21"/>
                <w:szCs w:val="21"/>
                <w:highlight w:val="none"/>
                <w:lang w:val="en-US" w:eastAsia="zh-CN"/>
              </w:rPr>
              <w:t>成品</w:t>
            </w:r>
            <w:r>
              <w:rPr>
                <w:rFonts w:hint="eastAsia" w:ascii="Times New Roman" w:hAnsi="Times New Roman" w:eastAsia="宋体" w:cstheme="minorBidi"/>
                <w:color w:val="auto"/>
                <w:sz w:val="21"/>
                <w:szCs w:val="21"/>
                <w:highlight w:val="none"/>
                <w:lang w:eastAsia="zh-CN"/>
              </w:rPr>
              <w:t>堆场</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8.14</w:t>
            </w:r>
          </w:p>
        </w:tc>
        <w:tc>
          <w:tcPr>
            <w:tcW w:w="127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0.</w:t>
            </w:r>
            <w:r>
              <w:rPr>
                <w:rFonts w:hint="eastAsia" w:eastAsia="宋体" w:cstheme="minorBidi"/>
                <w:color w:val="auto"/>
                <w:sz w:val="21"/>
                <w:szCs w:val="21"/>
                <w:highlight w:val="none"/>
                <w:lang w:val="en-US" w:eastAsia="zh-CN"/>
              </w:rPr>
              <w:t>90</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lang w:eastAsia="zh-CN"/>
              </w:rPr>
              <w:t>三级</w:t>
            </w:r>
          </w:p>
        </w:tc>
      </w:tr>
    </w:tbl>
    <w:p>
      <w:pPr>
        <w:spacing w:line="360" w:lineRule="auto"/>
        <w:ind w:firstLine="480"/>
        <w:rPr>
          <w:rFonts w:ascii="Times New Roman" w:hAnsi="Times New Roman" w:eastAsia="宋体" w:cstheme="minorBidi"/>
          <w:color w:val="FF0000"/>
          <w:highlight w:val="none"/>
        </w:rPr>
      </w:pPr>
      <w:r>
        <w:rPr>
          <w:rFonts w:hint="eastAsia" w:ascii="Times New Roman" w:hAnsi="Times New Roman" w:eastAsia="宋体" w:cstheme="minorBidi"/>
          <w:color w:val="FF0000"/>
          <w:highlight w:val="none"/>
        </w:rPr>
        <w:t>本项目Pmax最大值出现为</w:t>
      </w:r>
      <w:r>
        <w:rPr>
          <w:rFonts w:hint="eastAsia" w:eastAsia="宋体" w:cstheme="minorBidi"/>
          <w:color w:val="FF0000"/>
          <w:highlight w:val="none"/>
          <w:lang w:val="en-US" w:eastAsia="zh-CN"/>
        </w:rPr>
        <w:t>采砂场</w:t>
      </w:r>
      <w:r>
        <w:rPr>
          <w:rFonts w:hint="eastAsia" w:ascii="Times New Roman" w:hAnsi="Times New Roman" w:eastAsia="宋体" w:cstheme="minorBidi"/>
          <w:color w:val="FF0000"/>
          <w:highlight w:val="none"/>
        </w:rPr>
        <w:t>排放的TSPPmax值为</w:t>
      </w:r>
      <w:r>
        <w:rPr>
          <w:rFonts w:hint="eastAsia" w:eastAsia="宋体" w:cstheme="minorBidi"/>
          <w:color w:val="FF0000"/>
          <w:highlight w:val="none"/>
          <w:lang w:val="en-US" w:eastAsia="zh-CN"/>
        </w:rPr>
        <w:t>8.18</w:t>
      </w:r>
      <w:r>
        <w:rPr>
          <w:rFonts w:hint="eastAsia" w:ascii="Times New Roman" w:hAnsi="Times New Roman" w:eastAsia="宋体" w:cstheme="minorBidi"/>
          <w:color w:val="FF0000"/>
          <w:highlight w:val="none"/>
        </w:rPr>
        <w:t>%</w:t>
      </w:r>
      <w:r>
        <w:rPr>
          <w:rFonts w:hint="eastAsia" w:ascii="Times New Roman" w:hAnsi="Times New Roman" w:eastAsia="宋体" w:cstheme="minorBidi"/>
          <w:color w:val="FF0000"/>
          <w:highlight w:val="none"/>
          <w:lang w:eastAsia="zh-CN"/>
        </w:rPr>
        <w:t>，</w:t>
      </w:r>
      <w:r>
        <w:rPr>
          <w:rFonts w:hint="eastAsia" w:ascii="Times New Roman" w:hAnsi="Times New Roman" w:eastAsia="宋体" w:cstheme="minorBidi"/>
          <w:color w:val="FF0000"/>
          <w:highlight w:val="none"/>
        </w:rPr>
        <w:t>Cmax为</w:t>
      </w:r>
      <w:r>
        <w:rPr>
          <w:rFonts w:hint="eastAsia" w:eastAsia="宋体" w:cstheme="minorBidi"/>
          <w:color w:val="FF0000"/>
          <w:highlight w:val="none"/>
          <w:lang w:val="en-US" w:eastAsia="zh-CN"/>
        </w:rPr>
        <w:t>73.63</w:t>
      </w:r>
      <w:r>
        <w:rPr>
          <w:rFonts w:hint="default" w:ascii="Times New Roman" w:hAnsi="Times New Roman" w:eastAsia="宋体" w:cs="Times New Roman"/>
          <w:color w:val="FF0000"/>
          <w:highlight w:val="none"/>
        </w:rPr>
        <w:t>μg/m³</w:t>
      </w:r>
      <w:r>
        <w:rPr>
          <w:rFonts w:hint="eastAsia" w:ascii="Times New Roman" w:hAnsi="Times New Roman" w:eastAsia="宋体" w:cstheme="minorBidi"/>
          <w:color w:val="FF0000"/>
          <w:highlight w:val="none"/>
          <w:lang w:eastAsia="zh-CN"/>
        </w:rPr>
        <w:t>，</w:t>
      </w:r>
      <w:r>
        <w:rPr>
          <w:rFonts w:hint="eastAsia" w:ascii="Times New Roman" w:hAnsi="Times New Roman" w:eastAsia="宋体" w:cstheme="minorBidi"/>
          <w:color w:val="FF0000"/>
          <w:highlight w:val="none"/>
        </w:rPr>
        <w:t>根据《环境影响评价技术导则-大气环境》（HJ2.2-2018）中“5.3.3.1同一项目有多个污染源（两个及以上，下同）时，则按各污染源分别确定评价等级，并取评价等级最高者作为项目的评价等级”，本项目废气评价等级为</w:t>
      </w:r>
      <w:r>
        <w:rPr>
          <w:rFonts w:hint="eastAsia" w:ascii="Times New Roman" w:hAnsi="Times New Roman" w:eastAsia="宋体" w:cstheme="minorBidi"/>
          <w:color w:val="FF0000"/>
          <w:highlight w:val="none"/>
          <w:lang w:val="en-US" w:eastAsia="zh-CN"/>
        </w:rPr>
        <w:t>二</w:t>
      </w:r>
      <w:r>
        <w:rPr>
          <w:rFonts w:hint="eastAsia" w:ascii="Times New Roman" w:hAnsi="Times New Roman" w:eastAsia="宋体" w:cstheme="minorBidi"/>
          <w:color w:val="FF0000"/>
          <w:highlight w:val="none"/>
        </w:rPr>
        <w:t>级评价；根据“5.3.3.2对电力、钢铁、水泥、石化、电力、化工、平板玻璃、有色等高耗能行业多源项目或以使用高污染燃料为主的多源项目，并且编制环境影响报告书的项目评级</w:t>
      </w:r>
      <w:r>
        <w:rPr>
          <w:rFonts w:hint="eastAsia" w:ascii="Times New Roman" w:hAnsi="Times New Roman" w:eastAsia="宋体" w:cstheme="minorBidi"/>
          <w:color w:val="FF0000"/>
          <w:highlight w:val="none"/>
          <w:lang w:val="en-US" w:eastAsia="zh-CN"/>
        </w:rPr>
        <w:t>的</w:t>
      </w:r>
      <w:r>
        <w:rPr>
          <w:rFonts w:hint="eastAsia" w:ascii="Times New Roman" w:hAnsi="Times New Roman" w:eastAsia="宋体" w:cstheme="minorBidi"/>
          <w:color w:val="FF0000"/>
          <w:highlight w:val="none"/>
        </w:rPr>
        <w:t>等级提高一级”，本项目属于</w:t>
      </w:r>
      <w:r>
        <w:rPr>
          <w:rFonts w:hint="eastAsia" w:ascii="Times New Roman" w:hAnsi="Times New Roman" w:eastAsia="宋体"/>
          <w:color w:val="FF0000"/>
          <w:highlight w:val="none"/>
          <w:lang w:val="en-US" w:eastAsia="zh-CN"/>
        </w:rPr>
        <w:t>非金属矿开采</w:t>
      </w:r>
      <w:r>
        <w:rPr>
          <w:rFonts w:hint="eastAsia" w:ascii="Times New Roman" w:hAnsi="Times New Roman" w:eastAsia="宋体"/>
          <w:color w:val="FF0000"/>
          <w:highlight w:val="none"/>
        </w:rPr>
        <w:t>业，</w:t>
      </w:r>
      <w:r>
        <w:rPr>
          <w:rFonts w:hint="eastAsia" w:ascii="Times New Roman" w:hAnsi="Times New Roman" w:eastAsia="宋体" w:cstheme="minorBidi"/>
          <w:color w:val="FF0000"/>
          <w:highlight w:val="none"/>
        </w:rPr>
        <w:t>不属于5.3.3.2所列类别，因此大气评价等级确定为</w:t>
      </w:r>
      <w:r>
        <w:rPr>
          <w:rFonts w:hint="eastAsia" w:ascii="Times New Roman" w:hAnsi="Times New Roman" w:eastAsia="宋体" w:cstheme="minorBidi"/>
          <w:color w:val="FF0000"/>
          <w:highlight w:val="none"/>
          <w:lang w:val="en-US" w:eastAsia="zh-CN"/>
        </w:rPr>
        <w:t>二</w:t>
      </w:r>
      <w:r>
        <w:rPr>
          <w:rFonts w:hint="eastAsia" w:ascii="Times New Roman" w:hAnsi="Times New Roman" w:eastAsia="宋体" w:cstheme="minorBidi"/>
          <w:color w:val="FF0000"/>
          <w:highlight w:val="none"/>
        </w:rPr>
        <w:t>级。</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58" w:name="_Toc20322"/>
      <w:bookmarkStart w:id="59" w:name="_Toc2026552"/>
      <w:bookmarkStart w:id="60" w:name="_Toc8051033"/>
      <w:r>
        <w:rPr>
          <w:rFonts w:hint="eastAsia" w:ascii="Times New Roman" w:hAnsi="Times New Roman" w:eastAsia="宋体"/>
          <w:b/>
          <w:bCs w:val="0"/>
          <w:color w:val="auto"/>
          <w:sz w:val="30"/>
          <w:highlight w:val="none"/>
        </w:rPr>
        <w:t>2.</w:t>
      </w:r>
      <w:r>
        <w:rPr>
          <w:rFonts w:hint="eastAsia" w:ascii="Times New Roman" w:hAnsi="Times New Roman" w:eastAsia="宋体"/>
          <w:b/>
          <w:bCs w:val="0"/>
          <w:color w:val="auto"/>
          <w:sz w:val="30"/>
          <w:highlight w:val="none"/>
          <w:lang w:val="en-US" w:eastAsia="zh-CN"/>
        </w:rPr>
        <w:t>6</w:t>
      </w:r>
      <w:r>
        <w:rPr>
          <w:rFonts w:hint="eastAsia" w:ascii="Times New Roman" w:hAnsi="Times New Roman" w:eastAsia="宋体"/>
          <w:b/>
          <w:bCs w:val="0"/>
          <w:color w:val="auto"/>
          <w:sz w:val="30"/>
          <w:highlight w:val="none"/>
        </w:rPr>
        <w:t>.2 地表水评价工作等级</w:t>
      </w:r>
      <w:bookmarkEnd w:id="58"/>
      <w:bookmarkEnd w:id="59"/>
      <w:bookmarkEnd w:id="60"/>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根据《环境影响评价技术导则-地表水环境》（HJ2.2-2018）地表水评价工作等级按照影响类型、排放方式、排放量或影响情况、受纳水体环境质量现状、水环境保护目标等综合确定。</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本项目属于水污染影响型建设项目，根据排放方式和废水排放量划分评价工作等级，详见表2.5-</w:t>
      </w:r>
      <w:r>
        <w:rPr>
          <w:rFonts w:hint="eastAsia" w:ascii="Times New Roman" w:hAnsi="Times New Roman" w:eastAsia="宋体" w:cstheme="minorBidi"/>
          <w:color w:val="auto"/>
          <w:highlight w:val="none"/>
          <w:lang w:val="en-US" w:eastAsia="zh-CN"/>
        </w:rPr>
        <w:t>5</w:t>
      </w:r>
      <w:r>
        <w:rPr>
          <w:rFonts w:hint="eastAsia" w:ascii="Times New Roman" w:hAnsi="Times New Roman" w:eastAsia="宋体" w:cstheme="minorBidi"/>
          <w:color w:val="auto"/>
          <w:highlight w:val="none"/>
        </w:rPr>
        <w:t>。</w:t>
      </w:r>
    </w:p>
    <w:p>
      <w:pPr>
        <w:spacing w:before="156" w:beforeLines="50" w:after="156" w:afterLines="50" w:line="360" w:lineRule="auto"/>
        <w:ind w:firstLine="0" w:firstLineChars="0"/>
        <w:jc w:val="center"/>
        <w:rPr>
          <w:rFonts w:ascii="Times New Roman" w:hAnsi="Times New Roman" w:eastAsia="宋体" w:cstheme="minorBidi"/>
          <w:color w:val="auto"/>
          <w:highlight w:val="none"/>
        </w:rPr>
      </w:pPr>
      <w:r>
        <w:rPr>
          <w:rFonts w:hint="eastAsia" w:ascii="Times New Roman" w:hAnsi="Times New Roman" w:eastAsia="宋体" w:cstheme="minorBidi"/>
          <w:b/>
          <w:bCs/>
          <w:color w:val="auto"/>
          <w:highlight w:val="none"/>
        </w:rPr>
        <w:t>表2.5-</w:t>
      </w:r>
      <w:r>
        <w:rPr>
          <w:rFonts w:hint="eastAsia" w:ascii="Times New Roman" w:hAnsi="Times New Roman" w:eastAsia="宋体" w:cstheme="minorBidi"/>
          <w:b/>
          <w:bCs/>
          <w:color w:val="auto"/>
          <w:highlight w:val="none"/>
          <w:lang w:val="en-US" w:eastAsia="zh-CN"/>
        </w:rPr>
        <w:t>5</w:t>
      </w:r>
      <w:r>
        <w:rPr>
          <w:rFonts w:hint="eastAsia" w:ascii="Times New Roman" w:hAnsi="Times New Roman" w:eastAsia="宋体" w:cstheme="minorBidi"/>
          <w:b/>
          <w:bCs/>
          <w:color w:val="auto"/>
          <w:highlight w:val="none"/>
        </w:rPr>
        <w:t xml:space="preserve">   水污染影响型建设项目评价等级判定</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163"/>
        <w:gridCol w:w="403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评价等级</w:t>
            </w:r>
          </w:p>
        </w:tc>
        <w:tc>
          <w:tcPr>
            <w:tcW w:w="6197" w:type="dxa"/>
            <w:gridSpan w:val="2"/>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判定依据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排放方式</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废水排放量Q</w:t>
            </w:r>
            <w:r>
              <w:rPr>
                <w:rFonts w:ascii="Times New Roman" w:hAnsi="Times New Roman" w:eastAsia="宋体" w:cstheme="minorBidi"/>
                <w:color w:val="auto"/>
                <w:sz w:val="21"/>
                <w:highlight w:val="none"/>
              </w:rPr>
              <w:t>/</w:t>
            </w:r>
            <w:r>
              <w:rPr>
                <w:rFonts w:hint="eastAsia" w:ascii="Times New Roman" w:hAnsi="Times New Roman" w:eastAsia="宋体" w:cstheme="minorBidi"/>
                <w:color w:val="auto"/>
                <w:sz w:val="21"/>
                <w:highlight w:val="none"/>
              </w:rPr>
              <w:t>（</w:t>
            </w:r>
            <w:r>
              <w:rPr>
                <w:rFonts w:ascii="Times New Roman" w:hAnsi="Times New Roman" w:eastAsia="宋体" w:cstheme="minorBidi"/>
                <w:color w:val="auto"/>
                <w:sz w:val="21"/>
                <w:highlight w:val="none"/>
              </w:rPr>
              <w:t>m</w:t>
            </w:r>
            <w:r>
              <w:rPr>
                <w:rFonts w:ascii="Times New Roman" w:hAnsi="Times New Roman" w:eastAsia="宋体" w:cstheme="minorBidi"/>
                <w:color w:val="auto"/>
                <w:sz w:val="21"/>
                <w:highlight w:val="none"/>
                <w:vertAlign w:val="superscript"/>
              </w:rPr>
              <w:t>3</w:t>
            </w:r>
            <w:r>
              <w:rPr>
                <w:rFonts w:ascii="Times New Roman" w:hAnsi="Times New Roman" w:eastAsia="宋体" w:cstheme="minorBidi"/>
                <w:color w:val="auto"/>
                <w:sz w:val="21"/>
                <w:highlight w:val="none"/>
              </w:rPr>
              <w:t>/d</w:t>
            </w:r>
            <w:r>
              <w:rPr>
                <w:rFonts w:hint="eastAsia" w:ascii="Times New Roman" w:hAnsi="Times New Roman" w:eastAsia="宋体" w:cstheme="minorBidi"/>
                <w:color w:val="auto"/>
                <w:sz w:val="21"/>
                <w:highlight w:val="none"/>
              </w:rPr>
              <w:t>）；</w:t>
            </w:r>
          </w:p>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水污染</w:t>
            </w:r>
            <w:r>
              <w:rPr>
                <w:rFonts w:ascii="Times New Roman" w:hAnsi="Times New Roman" w:eastAsia="宋体" w:cstheme="minorBidi"/>
                <w:color w:val="auto"/>
                <w:sz w:val="21"/>
                <w:highlight w:val="none"/>
              </w:rPr>
              <w:t>当量数</w:t>
            </w:r>
            <w:r>
              <w:rPr>
                <w:rFonts w:hint="eastAsia" w:ascii="Times New Roman" w:hAnsi="Times New Roman" w:eastAsia="宋体" w:cstheme="minorBidi"/>
                <w:color w:val="auto"/>
                <w:sz w:val="21"/>
                <w:highlight w:val="none"/>
              </w:rPr>
              <w:t>W/（无量纲）</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一级</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Q≥</w:t>
            </w:r>
            <w:r>
              <w:rPr>
                <w:rFonts w:ascii="Times New Roman" w:hAnsi="Times New Roman" w:eastAsia="宋体" w:cstheme="minorBidi"/>
                <w:color w:val="auto"/>
                <w:sz w:val="21"/>
                <w:highlight w:val="none"/>
              </w:rPr>
              <w:t xml:space="preserve">20000 </w:t>
            </w:r>
            <w:r>
              <w:rPr>
                <w:rFonts w:hint="eastAsia" w:ascii="Times New Roman" w:hAnsi="Times New Roman" w:eastAsia="宋体" w:cstheme="minorBidi"/>
                <w:color w:val="auto"/>
                <w:sz w:val="21"/>
                <w:highlight w:val="none"/>
              </w:rPr>
              <w:t xml:space="preserve">或 </w:t>
            </w:r>
            <w:r>
              <w:rPr>
                <w:rFonts w:ascii="Times New Roman" w:hAnsi="Times New Roman" w:eastAsia="宋体" w:cstheme="minorBidi"/>
                <w:color w:val="auto"/>
                <w:sz w:val="21"/>
                <w:highlight w:val="none"/>
              </w:rPr>
              <w:t>W</w:t>
            </w:r>
            <w:r>
              <w:rPr>
                <w:rFonts w:hint="eastAsia" w:ascii="Times New Roman" w:hAnsi="Times New Roman" w:eastAsia="宋体" w:cstheme="minorBidi"/>
                <w:color w:val="auto"/>
                <w:sz w:val="21"/>
                <w:highlight w:val="none"/>
              </w:rPr>
              <w:t>≥</w:t>
            </w:r>
            <w:r>
              <w:rPr>
                <w:rFonts w:ascii="Times New Roman" w:hAnsi="Times New Roman" w:eastAsia="宋体" w:cstheme="minorBidi"/>
                <w:color w:val="auto"/>
                <w:sz w:val="21"/>
                <w:highlight w:val="none"/>
              </w:rPr>
              <w:t>600000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二级</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三级A</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Q&lt;</w:t>
            </w:r>
            <w:r>
              <w:rPr>
                <w:rFonts w:ascii="Times New Roman" w:hAnsi="Times New Roman" w:eastAsia="宋体" w:cstheme="minorBidi"/>
                <w:color w:val="auto"/>
                <w:sz w:val="21"/>
                <w:highlight w:val="none"/>
              </w:rPr>
              <w:t xml:space="preserve">200 </w:t>
            </w:r>
            <w:r>
              <w:rPr>
                <w:rFonts w:hint="eastAsia" w:ascii="Times New Roman" w:hAnsi="Times New Roman" w:eastAsia="宋体" w:cstheme="minorBidi"/>
                <w:color w:val="auto"/>
                <w:sz w:val="21"/>
                <w:highlight w:val="none"/>
              </w:rPr>
              <w:t xml:space="preserve">或 </w:t>
            </w:r>
            <w:r>
              <w:rPr>
                <w:rFonts w:ascii="Times New Roman" w:hAnsi="Times New Roman" w:eastAsia="宋体" w:cstheme="minorBidi"/>
                <w:color w:val="auto"/>
                <w:sz w:val="21"/>
                <w:highlight w:val="none"/>
              </w:rPr>
              <w:t>W</w:t>
            </w:r>
            <w:r>
              <w:rPr>
                <w:rFonts w:hint="eastAsia" w:ascii="Times New Roman" w:hAnsi="Times New Roman" w:eastAsia="宋体" w:cstheme="minorBidi"/>
                <w:color w:val="auto"/>
                <w:sz w:val="21"/>
                <w:highlight w:val="none"/>
              </w:rPr>
              <w:t>&lt;</w:t>
            </w:r>
            <w:r>
              <w:rPr>
                <w:rFonts w:ascii="Times New Roman" w:hAnsi="Times New Roman" w:eastAsia="宋体" w:cstheme="minorBidi"/>
                <w:color w:val="auto"/>
                <w:sz w:val="21"/>
                <w:highlight w:val="none"/>
              </w:rPr>
              <w:t>6000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三级B</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w:t>
            </w:r>
          </w:p>
        </w:tc>
      </w:tr>
    </w:tbl>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本项目废水来源主要为</w:t>
      </w:r>
      <w:r>
        <w:rPr>
          <w:rFonts w:hint="eastAsia" w:ascii="Times New Roman" w:hAnsi="Times New Roman" w:eastAsia="宋体"/>
          <w:color w:val="auto"/>
          <w:highlight w:val="none"/>
          <w:lang w:val="en-US" w:eastAsia="zh-CN"/>
        </w:rPr>
        <w:t>职工生活污水</w:t>
      </w:r>
      <w:r>
        <w:rPr>
          <w:rFonts w:hint="eastAsia" w:ascii="Times New Roman" w:hAnsi="Times New Roman" w:eastAsia="宋体"/>
          <w:color w:val="auto"/>
          <w:highlight w:val="none"/>
        </w:rPr>
        <w:t>；</w:t>
      </w:r>
      <w:r>
        <w:rPr>
          <w:rFonts w:hint="eastAsia" w:ascii="Times New Roman" w:hAnsi="Times New Roman" w:eastAsia="宋体" w:cstheme="minorBidi"/>
          <w:color w:val="auto"/>
          <w:highlight w:val="none"/>
          <w:lang w:val="en-US" w:eastAsia="zh-CN"/>
        </w:rPr>
        <w:t>职工生活污水经化粪池处理后，定期委托第三方拉运，最终纳入</w:t>
      </w:r>
      <w:r>
        <w:rPr>
          <w:rFonts w:hint="eastAsia" w:eastAsia="宋体" w:cstheme="minorBidi"/>
          <w:color w:val="auto"/>
          <w:highlight w:val="none"/>
          <w:lang w:val="en-US" w:eastAsia="zh-CN"/>
        </w:rPr>
        <w:t>朱日和镇</w:t>
      </w:r>
      <w:r>
        <w:rPr>
          <w:rFonts w:hint="eastAsia" w:ascii="Times New Roman" w:hAnsi="Times New Roman" w:eastAsia="宋体" w:cstheme="minorBidi"/>
          <w:color w:val="auto"/>
          <w:highlight w:val="none"/>
          <w:lang w:val="en-US" w:eastAsia="zh-CN"/>
        </w:rPr>
        <w:t>污水处理厂进行进一步处理</w:t>
      </w:r>
      <w:r>
        <w:rPr>
          <w:rFonts w:hint="eastAsia" w:ascii="Times New Roman" w:hAnsi="Times New Roman" w:eastAsia="宋体" w:cstheme="minorBidi"/>
          <w:color w:val="auto"/>
          <w:highlight w:val="none"/>
        </w:rPr>
        <w:t>，属于间接排放，因此评价工作等级为三级B。</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61" w:name="_Toc901"/>
      <w:bookmarkStart w:id="62" w:name="_Toc8051034"/>
      <w:bookmarkStart w:id="63" w:name="_Toc2026553"/>
      <w:r>
        <w:rPr>
          <w:rFonts w:hint="eastAsia" w:ascii="Times New Roman" w:hAnsi="Times New Roman" w:eastAsia="宋体"/>
          <w:b/>
          <w:bCs w:val="0"/>
          <w:color w:val="auto"/>
          <w:sz w:val="30"/>
          <w:highlight w:val="none"/>
        </w:rPr>
        <w:t>2.</w:t>
      </w:r>
      <w:r>
        <w:rPr>
          <w:rFonts w:hint="eastAsia" w:ascii="Times New Roman" w:hAnsi="Times New Roman" w:eastAsia="宋体"/>
          <w:b/>
          <w:bCs w:val="0"/>
          <w:color w:val="auto"/>
          <w:sz w:val="30"/>
          <w:highlight w:val="none"/>
          <w:lang w:val="en-US" w:eastAsia="zh-CN"/>
        </w:rPr>
        <w:t>6</w:t>
      </w:r>
      <w:r>
        <w:rPr>
          <w:rFonts w:hint="eastAsia" w:ascii="Times New Roman" w:hAnsi="Times New Roman" w:eastAsia="宋体"/>
          <w:b/>
          <w:bCs w:val="0"/>
          <w:color w:val="auto"/>
          <w:sz w:val="30"/>
          <w:highlight w:val="none"/>
        </w:rPr>
        <w:t>.3 地下水评价工作等级</w:t>
      </w:r>
      <w:bookmarkEnd w:id="61"/>
      <w:bookmarkEnd w:id="62"/>
      <w:bookmarkEnd w:id="63"/>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根据《环境影响评价技术导则-地下水环境》（HJ610-2016）建设项目对地下水环境影响的程度，结合《建设项目环境影响评价分类管理名录》，将建设项目分为四类，分别为I类，II类，III类，IV类，详见表2.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w:t>
      </w:r>
    </w:p>
    <w:p>
      <w:pPr>
        <w:spacing w:before="156" w:beforeLines="50" w:after="156" w:afterLines="50" w:line="360" w:lineRule="auto"/>
        <w:ind w:firstLine="0" w:firstLineChars="0"/>
        <w:jc w:val="center"/>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w:t>
      </w:r>
      <w:r>
        <w:rPr>
          <w:rFonts w:hint="eastAsia" w:ascii="Times New Roman" w:hAnsi="Times New Roman" w:eastAsia="宋体" w:cstheme="minorBidi"/>
          <w:b/>
          <w:bCs/>
          <w:color w:val="auto"/>
          <w:highlight w:val="none"/>
          <w:lang w:val="en-US" w:eastAsia="zh-CN"/>
        </w:rPr>
        <w:t>6</w:t>
      </w:r>
      <w:r>
        <w:rPr>
          <w:rFonts w:hint="eastAsia" w:ascii="Times New Roman" w:hAnsi="Times New Roman" w:eastAsia="宋体" w:cstheme="minorBidi"/>
          <w:b/>
          <w:bCs/>
          <w:color w:val="auto"/>
          <w:highlight w:val="none"/>
        </w:rPr>
        <w:t>-</w:t>
      </w:r>
      <w:r>
        <w:rPr>
          <w:rFonts w:hint="eastAsia" w:ascii="Times New Roman" w:hAnsi="Times New Roman" w:eastAsia="宋体" w:cstheme="minorBidi"/>
          <w:b/>
          <w:bCs/>
          <w:color w:val="auto"/>
          <w:highlight w:val="none"/>
          <w:lang w:val="en-US" w:eastAsia="zh-CN"/>
        </w:rPr>
        <w:t>6</w:t>
      </w:r>
      <w:r>
        <w:rPr>
          <w:rFonts w:hint="eastAsia" w:ascii="Times New Roman" w:hAnsi="Times New Roman" w:eastAsia="宋体" w:cstheme="minorBidi"/>
          <w:b/>
          <w:bCs/>
          <w:color w:val="auto"/>
          <w:highlight w:val="none"/>
        </w:rPr>
        <w:t xml:space="preserve">  《环境影响评价技术导则  地下水环境》（HJ610-2016）附录A</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11"/>
        <w:gridCol w:w="1133"/>
        <w:gridCol w:w="1703"/>
        <w:gridCol w:w="146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环评类别</w:t>
            </w:r>
          </w:p>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项目类别</w:t>
            </w:r>
          </w:p>
        </w:tc>
        <w:tc>
          <w:tcPr>
            <w:tcW w:w="2411"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报告书</w:t>
            </w:r>
          </w:p>
        </w:tc>
        <w:tc>
          <w:tcPr>
            <w:tcW w:w="1133"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报告表</w:t>
            </w:r>
          </w:p>
        </w:tc>
        <w:tc>
          <w:tcPr>
            <w:tcW w:w="3169" w:type="dxa"/>
            <w:gridSpan w:val="2"/>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地下水环境影响评价项目类别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2411"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1133"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170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报告书</w:t>
            </w:r>
          </w:p>
        </w:tc>
        <w:tc>
          <w:tcPr>
            <w:tcW w:w="1466"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5"/>
            <w:tcBorders>
              <w:tl2br w:val="nil"/>
              <w:tr2bl w:val="nil"/>
            </w:tcBorders>
            <w:vAlign w:val="center"/>
          </w:tcPr>
          <w:p>
            <w:pPr>
              <w:spacing w:line="0" w:lineRule="atLeast"/>
              <w:ind w:firstLine="0" w:firstLineChars="0"/>
              <w:jc w:val="center"/>
              <w:rPr>
                <w:rFonts w:hint="default" w:ascii="Times New Roman" w:hAnsi="Times New Roman" w:eastAsia="宋体" w:cstheme="minorBidi"/>
                <w:color w:val="auto"/>
                <w:sz w:val="21"/>
                <w:highlight w:val="none"/>
                <w:lang w:val="en-US" w:eastAsia="zh-CN"/>
              </w:rPr>
            </w:pPr>
            <w:r>
              <w:rPr>
                <w:rFonts w:hint="eastAsia" w:ascii="Times New Roman" w:hAnsi="Times New Roman" w:eastAsia="宋体" w:cstheme="minorBidi"/>
                <w:color w:val="auto"/>
                <w:sz w:val="21"/>
                <w:highlight w:val="none"/>
                <w:lang w:val="en-US" w:eastAsia="zh-CN"/>
              </w:rPr>
              <w:t>J 非金属矿采选及制品制造</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tcBorders>
              <w:tl2br w:val="nil"/>
              <w:tr2bl w:val="nil"/>
            </w:tcBorders>
            <w:vAlign w:val="center"/>
          </w:tcPr>
          <w:p>
            <w:pPr>
              <w:spacing w:line="0" w:lineRule="atLeast"/>
              <w:ind w:firstLine="0" w:firstLineChars="0"/>
              <w:jc w:val="center"/>
              <w:rPr>
                <w:rFonts w:hint="default" w:ascii="Times New Roman" w:hAnsi="Times New Roman" w:eastAsia="宋体" w:cstheme="minorBidi"/>
                <w:color w:val="auto"/>
                <w:sz w:val="21"/>
                <w:highlight w:val="none"/>
                <w:lang w:val="en-US" w:eastAsia="zh-CN"/>
              </w:rPr>
            </w:pPr>
            <w:r>
              <w:rPr>
                <w:rFonts w:hint="eastAsia" w:ascii="Times New Roman" w:hAnsi="Times New Roman" w:eastAsia="宋体" w:cstheme="minorBidi"/>
                <w:color w:val="auto"/>
                <w:sz w:val="21"/>
                <w:highlight w:val="none"/>
                <w:lang w:val="en-US" w:eastAsia="zh-CN"/>
              </w:rPr>
              <w:t>54、土砂石开采</w:t>
            </w:r>
          </w:p>
        </w:tc>
        <w:tc>
          <w:tcPr>
            <w:tcW w:w="2411" w:type="dxa"/>
            <w:tcBorders>
              <w:tl2br w:val="nil"/>
              <w:tr2bl w:val="nil"/>
            </w:tcBorders>
            <w:vAlign w:val="center"/>
          </w:tcPr>
          <w:p>
            <w:pPr>
              <w:spacing w:line="0" w:lineRule="atLeast"/>
              <w:ind w:firstLine="0" w:firstLineChars="0"/>
              <w:jc w:val="center"/>
              <w:rPr>
                <w:rFonts w:hint="default" w:ascii="Times New Roman" w:hAnsi="Times New Roman" w:eastAsia="宋体" w:cstheme="minorBidi"/>
                <w:color w:val="auto"/>
                <w:sz w:val="21"/>
                <w:highlight w:val="none"/>
                <w:lang w:val="en-US" w:eastAsia="zh-CN"/>
              </w:rPr>
            </w:pPr>
            <w:r>
              <w:rPr>
                <w:rFonts w:hint="eastAsia" w:ascii="Times New Roman" w:hAnsi="Times New Roman" w:eastAsia="宋体" w:cstheme="minorBidi"/>
                <w:color w:val="auto"/>
                <w:sz w:val="21"/>
                <w:highlight w:val="none"/>
                <w:lang w:val="en-US" w:eastAsia="zh-CN"/>
              </w:rPr>
              <w:t>年采10万立方米及以上；海砂开采工程；涉及环境敏感区的</w:t>
            </w:r>
          </w:p>
        </w:tc>
        <w:tc>
          <w:tcPr>
            <w:tcW w:w="113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其他</w:t>
            </w:r>
          </w:p>
        </w:tc>
        <w:tc>
          <w:tcPr>
            <w:tcW w:w="170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Ⅳ类</w:t>
            </w:r>
          </w:p>
        </w:tc>
        <w:tc>
          <w:tcPr>
            <w:tcW w:w="1466"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Ⅳ类</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heme="minorBidi"/>
          <w:color w:val="auto"/>
          <w:highlight w:val="none"/>
          <w:lang w:val="en-US" w:eastAsia="zh-CN"/>
        </w:rPr>
      </w:pPr>
      <w:r>
        <w:rPr>
          <w:rFonts w:hint="default" w:ascii="Times New Roman" w:hAnsi="Times New Roman" w:eastAsia="宋体" w:cstheme="minorBidi"/>
          <w:color w:val="auto"/>
          <w:highlight w:val="none"/>
          <w:lang w:val="en-US" w:eastAsia="zh-CN"/>
        </w:rPr>
        <w:t>根据《环境影响评价技术导则 地下水环境》（HJ610-2016）中地下水环境影响评价行业分类表，本项目为</w:t>
      </w:r>
      <w:r>
        <w:rPr>
          <w:rFonts w:hint="eastAsia" w:ascii="Times New Roman" w:hAnsi="Times New Roman" w:eastAsia="宋体" w:cstheme="minorBidi"/>
          <w:color w:val="auto"/>
          <w:highlight w:val="none"/>
          <w:lang w:val="en-US" w:eastAsia="zh-CN"/>
        </w:rPr>
        <w:t>“</w:t>
      </w:r>
      <w:r>
        <w:rPr>
          <w:rFonts w:hint="default" w:ascii="Times New Roman" w:hAnsi="Times New Roman" w:eastAsia="宋体" w:cstheme="minorBidi"/>
          <w:color w:val="auto"/>
          <w:highlight w:val="none"/>
          <w:lang w:val="en-US" w:eastAsia="zh-CN"/>
        </w:rPr>
        <w:t>J非金属矿采选及制品制造 54、土砂石开采中</w:t>
      </w:r>
      <w:r>
        <w:rPr>
          <w:rFonts w:hint="eastAsia" w:ascii="Times New Roman" w:hAnsi="Times New Roman" w:eastAsia="宋体" w:cstheme="minorBidi"/>
          <w:color w:val="auto"/>
          <w:highlight w:val="none"/>
          <w:lang w:val="en-US" w:eastAsia="zh-CN"/>
        </w:rPr>
        <w:t>涉及环境敏感区”</w:t>
      </w:r>
      <w:r>
        <w:rPr>
          <w:rFonts w:hint="default" w:ascii="Times New Roman" w:hAnsi="Times New Roman" w:eastAsia="宋体" w:cstheme="minorBidi"/>
          <w:color w:val="auto"/>
          <w:highlight w:val="none"/>
          <w:lang w:val="en-US" w:eastAsia="zh-CN"/>
        </w:rPr>
        <w:t>需编制报告</w:t>
      </w:r>
      <w:r>
        <w:rPr>
          <w:rFonts w:hint="eastAsia" w:ascii="Times New Roman" w:hAnsi="Times New Roman" w:eastAsia="宋体" w:cstheme="minorBidi"/>
          <w:color w:val="auto"/>
          <w:highlight w:val="none"/>
          <w:lang w:val="en-US" w:eastAsia="zh-CN"/>
        </w:rPr>
        <w:t>书</w:t>
      </w:r>
      <w:r>
        <w:rPr>
          <w:rFonts w:hint="default" w:ascii="Times New Roman" w:hAnsi="Times New Roman" w:eastAsia="宋体" w:cstheme="minorBidi"/>
          <w:color w:val="auto"/>
          <w:highlight w:val="none"/>
          <w:lang w:val="en-US" w:eastAsia="zh-CN"/>
        </w:rPr>
        <w:t>类项目，属于Ⅳ类项目，不开展地下水质量环境影响评价。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heme="minorBidi"/>
          <w:color w:val="auto"/>
          <w:highlight w:val="none"/>
          <w:lang w:val="en-US" w:eastAsia="zh-CN"/>
        </w:rPr>
      </w:pPr>
      <w:r>
        <w:rPr>
          <w:rFonts w:hint="default" w:ascii="Times New Roman" w:hAnsi="Times New Roman" w:eastAsia="宋体" w:cstheme="minorBidi"/>
          <w:color w:val="auto"/>
          <w:highlight w:val="none"/>
          <w:lang w:val="en-US" w:eastAsia="zh-CN"/>
        </w:rPr>
        <w:t>本项目为Ⅳ类建设项目，根据《环境影响评价技术导则—地下水环境》（HJ610-2016）相关规定，不开展地下水质量现状环境影响评价。</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64" w:name="_Toc2026554"/>
      <w:bookmarkStart w:id="65" w:name="_Toc8051035"/>
      <w:bookmarkStart w:id="66" w:name="_Toc25723"/>
      <w:r>
        <w:rPr>
          <w:rFonts w:hint="eastAsia" w:ascii="Times New Roman" w:hAnsi="Times New Roman" w:eastAsia="宋体"/>
          <w:b/>
          <w:bCs w:val="0"/>
          <w:color w:val="auto"/>
          <w:sz w:val="30"/>
          <w:szCs w:val="30"/>
          <w:highlight w:val="none"/>
        </w:rPr>
        <w:t>2.</w:t>
      </w:r>
      <w:r>
        <w:rPr>
          <w:rFonts w:hint="eastAsia" w:ascii="Times New Roman" w:hAnsi="Times New Roman" w:eastAsia="宋体"/>
          <w:b/>
          <w:bCs w:val="0"/>
          <w:color w:val="auto"/>
          <w:sz w:val="30"/>
          <w:szCs w:val="30"/>
          <w:highlight w:val="none"/>
          <w:lang w:val="en-US" w:eastAsia="zh-CN"/>
        </w:rPr>
        <w:t>6</w:t>
      </w:r>
      <w:r>
        <w:rPr>
          <w:rFonts w:hint="eastAsia" w:ascii="Times New Roman" w:hAnsi="Times New Roman" w:eastAsia="宋体"/>
          <w:b/>
          <w:bCs w:val="0"/>
          <w:color w:val="auto"/>
          <w:sz w:val="30"/>
          <w:szCs w:val="30"/>
          <w:highlight w:val="none"/>
        </w:rPr>
        <w:t>.4 声环境评价工作等级</w:t>
      </w:r>
      <w:bookmarkEnd w:id="64"/>
      <w:bookmarkEnd w:id="65"/>
      <w:bookmarkEnd w:id="66"/>
    </w:p>
    <w:p>
      <w:pPr>
        <w:spacing w:line="360" w:lineRule="auto"/>
        <w:ind w:firstLine="480"/>
        <w:rPr>
          <w:rFonts w:ascii="Times New Roman" w:hAnsi="Times New Roman" w:eastAsia="宋体" w:cstheme="minorBidi"/>
          <w:bCs/>
          <w:color w:val="auto"/>
          <w:highlight w:val="none"/>
        </w:rPr>
      </w:pPr>
      <w:bookmarkStart w:id="67" w:name="_Toc2026555"/>
      <w:r>
        <w:rPr>
          <w:rFonts w:ascii="Times New Roman" w:hAnsi="Times New Roman" w:eastAsia="宋体" w:cstheme="minorBidi"/>
          <w:bCs/>
          <w:color w:val="auto"/>
          <w:highlight w:val="none"/>
        </w:rPr>
        <w:t>根据《环境影响评价技术导则 声环境》</w:t>
      </w:r>
      <w:r>
        <w:rPr>
          <w:rFonts w:hint="default" w:ascii="Times New Roman" w:hAnsi="Times New Roman" w:eastAsia="宋体" w:cstheme="minorBidi"/>
          <w:bCs/>
          <w:color w:val="auto"/>
          <w:highlight w:val="none"/>
        </w:rPr>
        <w:t>(HJ2.4-2009)</w:t>
      </w:r>
      <w:r>
        <w:rPr>
          <w:rFonts w:ascii="Times New Roman" w:hAnsi="Times New Roman" w:eastAsia="宋体" w:cstheme="minorBidi"/>
          <w:bCs/>
          <w:color w:val="auto"/>
          <w:highlight w:val="none"/>
        </w:rPr>
        <w:t xml:space="preserve">中关于评价等级划分的 规定，本项目属于 </w:t>
      </w:r>
      <w:r>
        <w:rPr>
          <w:rFonts w:hint="default" w:ascii="Times New Roman" w:hAnsi="Times New Roman" w:eastAsia="宋体" w:cstheme="minorBidi"/>
          <w:bCs/>
          <w:color w:val="auto"/>
          <w:highlight w:val="none"/>
        </w:rPr>
        <w:t xml:space="preserve">5.2.3 </w:t>
      </w:r>
      <w:r>
        <w:rPr>
          <w:rFonts w:ascii="Times New Roman" w:hAnsi="Times New Roman" w:eastAsia="宋体" w:cstheme="minorBidi"/>
          <w:bCs/>
          <w:color w:val="auto"/>
          <w:highlight w:val="none"/>
        </w:rPr>
        <w:t>中的</w:t>
      </w:r>
      <w:r>
        <w:rPr>
          <w:rFonts w:hint="default" w:ascii="Times New Roman" w:hAnsi="Times New Roman" w:eastAsia="宋体" w:cstheme="minorBidi"/>
          <w:bCs/>
          <w:color w:val="auto"/>
          <w:highlight w:val="none"/>
        </w:rPr>
        <w:t>“</w:t>
      </w:r>
      <w:r>
        <w:rPr>
          <w:rFonts w:ascii="Times New Roman" w:hAnsi="Times New Roman" w:eastAsia="宋体" w:cstheme="minorBidi"/>
          <w:bCs/>
          <w:color w:val="auto"/>
          <w:highlight w:val="none"/>
        </w:rPr>
        <w:t xml:space="preserve">建设项目所处的声环境功能区为 </w:t>
      </w:r>
      <w:r>
        <w:rPr>
          <w:rFonts w:hint="default" w:ascii="Times New Roman" w:hAnsi="Times New Roman" w:eastAsia="宋体" w:cstheme="minorBidi"/>
          <w:bCs/>
          <w:color w:val="auto"/>
          <w:highlight w:val="none"/>
        </w:rPr>
        <w:t xml:space="preserve">GB3096 </w:t>
      </w:r>
      <w:r>
        <w:rPr>
          <w:rFonts w:ascii="Times New Roman" w:hAnsi="Times New Roman" w:eastAsia="宋体" w:cstheme="minorBidi"/>
          <w:bCs/>
          <w:color w:val="auto"/>
          <w:highlight w:val="none"/>
        </w:rPr>
        <w:t xml:space="preserve">规定的 </w:t>
      </w:r>
      <w:r>
        <w:rPr>
          <w:rFonts w:hint="default" w:ascii="Times New Roman" w:hAnsi="Times New Roman" w:eastAsia="宋体" w:cstheme="minorBidi"/>
          <w:bCs/>
          <w:color w:val="auto"/>
          <w:highlight w:val="none"/>
        </w:rPr>
        <w:t xml:space="preserve">1 </w:t>
      </w:r>
      <w:r>
        <w:rPr>
          <w:rFonts w:ascii="Times New Roman" w:hAnsi="Times New Roman" w:eastAsia="宋体" w:cstheme="minorBidi"/>
          <w:bCs/>
          <w:color w:val="auto"/>
          <w:highlight w:val="none"/>
        </w:rPr>
        <w:t>类、</w:t>
      </w:r>
      <w:r>
        <w:rPr>
          <w:rFonts w:hint="default" w:ascii="Times New Roman" w:hAnsi="Times New Roman" w:eastAsia="宋体" w:cstheme="minorBidi"/>
          <w:bCs/>
          <w:color w:val="auto"/>
          <w:highlight w:val="none"/>
        </w:rPr>
        <w:t xml:space="preserve">2 </w:t>
      </w:r>
      <w:r>
        <w:rPr>
          <w:rFonts w:ascii="Times New Roman" w:hAnsi="Times New Roman" w:eastAsia="宋体" w:cstheme="minorBidi"/>
          <w:bCs/>
          <w:color w:val="auto"/>
          <w:highlight w:val="none"/>
        </w:rPr>
        <w:t xml:space="preserve">类地区，或建设项目建设前后评价范围内敏感点目标噪声级增高量在 </w:t>
      </w:r>
      <w:r>
        <w:rPr>
          <w:rFonts w:hint="default" w:ascii="Times New Roman" w:hAnsi="Times New Roman" w:eastAsia="宋体" w:cstheme="minorBidi"/>
          <w:bCs/>
          <w:color w:val="auto"/>
          <w:highlight w:val="none"/>
        </w:rPr>
        <w:t>3dB(A)-5dB(A)</w:t>
      </w:r>
      <w:r>
        <w:rPr>
          <w:rFonts w:ascii="Times New Roman" w:hAnsi="Times New Roman" w:eastAsia="宋体" w:cstheme="minorBidi"/>
          <w:bCs/>
          <w:color w:val="auto"/>
          <w:highlight w:val="none"/>
        </w:rPr>
        <w:t xml:space="preserve">，或受影响人口数量增加较多时，按二级评价，本项目的声环境 功能为 </w:t>
      </w:r>
      <w:r>
        <w:rPr>
          <w:rFonts w:hint="default" w:ascii="Times New Roman" w:hAnsi="Times New Roman" w:eastAsia="宋体" w:cstheme="minorBidi"/>
          <w:bCs/>
          <w:color w:val="auto"/>
          <w:highlight w:val="none"/>
        </w:rPr>
        <w:t xml:space="preserve">2 </w:t>
      </w:r>
      <w:r>
        <w:rPr>
          <w:rFonts w:ascii="Times New Roman" w:hAnsi="Times New Roman" w:eastAsia="宋体" w:cstheme="minorBidi"/>
          <w:bCs/>
          <w:color w:val="auto"/>
          <w:highlight w:val="none"/>
        </w:rPr>
        <w:t xml:space="preserve">类，项目建设前后受影响人口数量变化不多，评价范围内的敏感点目标 噪声级增高量也在 </w:t>
      </w:r>
      <w:r>
        <w:rPr>
          <w:rFonts w:hint="default" w:ascii="Times New Roman" w:hAnsi="Times New Roman" w:eastAsia="宋体" w:cstheme="minorBidi"/>
          <w:bCs/>
          <w:color w:val="auto"/>
          <w:highlight w:val="none"/>
        </w:rPr>
        <w:t>3dB(A)</w:t>
      </w:r>
      <w:r>
        <w:rPr>
          <w:rFonts w:ascii="Times New Roman" w:hAnsi="Times New Roman" w:eastAsia="宋体" w:cstheme="minorBidi"/>
          <w:bCs/>
          <w:color w:val="auto"/>
          <w:highlight w:val="none"/>
        </w:rPr>
        <w:t>以下，故应为二级评价。</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30"/>
          <w:szCs w:val="30"/>
          <w:highlight w:val="none"/>
          <w:lang w:val="en-US" w:eastAsia="zh-CN"/>
        </w:rPr>
      </w:pPr>
      <w:bookmarkStart w:id="68" w:name="_Toc8106"/>
      <w:r>
        <w:rPr>
          <w:rFonts w:hint="eastAsia" w:ascii="Times New Roman" w:hAnsi="Times New Roman" w:eastAsia="宋体"/>
          <w:b/>
          <w:color w:val="auto"/>
          <w:sz w:val="30"/>
          <w:highlight w:val="none"/>
          <w:cs/>
          <w:lang w:val="en-US" w:eastAsia="zh-CN"/>
        </w:rPr>
        <w:t xml:space="preserve">2.6.5 </w:t>
      </w:r>
      <w:r>
        <w:rPr>
          <w:rFonts w:hint="eastAsia" w:eastAsia="宋体"/>
          <w:b/>
          <w:color w:val="auto"/>
          <w:sz w:val="30"/>
          <w:highlight w:val="none"/>
          <w:cs w:val="0"/>
          <w:lang w:val="en-US" w:eastAsia="zh-CN"/>
        </w:rPr>
        <w:t>生态影响评价工作等级</w:t>
      </w:r>
      <w:bookmarkEnd w:id="68"/>
    </w:p>
    <w:p>
      <w:pPr>
        <w:spacing w:line="360" w:lineRule="auto"/>
        <w:ind w:left="0" w:leftChars="0" w:firstLine="480" w:firstLineChars="200"/>
        <w:rPr>
          <w:rFonts w:hint="default" w:ascii="Times New Roman" w:hAnsi="Times New Roman" w:eastAsia="宋体" w:cstheme="minorBidi"/>
          <w:bCs/>
          <w:color w:val="FF0000"/>
          <w:highlight w:val="yellow"/>
          <w:lang w:val="en-US" w:eastAsia="zh-CN"/>
        </w:rPr>
      </w:pPr>
      <w:r>
        <w:rPr>
          <w:rFonts w:hint="default" w:ascii="Times New Roman" w:hAnsi="Times New Roman" w:eastAsia="宋体" w:cstheme="minorBidi"/>
          <w:bCs/>
          <w:color w:val="FF0000"/>
          <w:highlight w:val="none"/>
          <w:lang w:val="en-US" w:eastAsia="zh-CN"/>
        </w:rPr>
        <w:t>根据《环境影响评价技术导则 生态影响》（HJ/T19-2011），</w:t>
      </w:r>
      <w:r>
        <w:rPr>
          <w:rFonts w:hint="eastAsia" w:eastAsia="宋体" w:cstheme="minorBidi"/>
          <w:bCs/>
          <w:color w:val="FF0000"/>
          <w:highlight w:val="none"/>
          <w:lang w:val="en-US" w:eastAsia="zh-CN"/>
        </w:rPr>
        <w:t>据调查</w:t>
      </w:r>
      <w:r>
        <w:rPr>
          <w:rFonts w:hint="default" w:ascii="Times New Roman" w:hAnsi="Times New Roman" w:eastAsia="宋体" w:cstheme="minorBidi"/>
          <w:bCs/>
          <w:color w:val="FF0000"/>
          <w:highlight w:val="none"/>
          <w:lang w:val="en-US" w:eastAsia="zh-CN"/>
        </w:rPr>
        <w:t>本项目矿区和周边5km范围内无自然保护区等特殊生态敏感区，也无风景名胜区、森林公园、 珍稀濒危野生动植物天然集中区等重要生态敏感区，属生态环境一般区域；本项目占地</w:t>
      </w:r>
      <w:r>
        <w:rPr>
          <w:rFonts w:hint="eastAsia" w:eastAsia="宋体" w:cstheme="minorBidi"/>
          <w:bCs/>
          <w:color w:val="FF0000"/>
          <w:highlight w:val="none"/>
          <w:lang w:val="en-US" w:eastAsia="zh-CN"/>
        </w:rPr>
        <w:t>面积0.103km</w:t>
      </w:r>
      <w:r>
        <w:rPr>
          <w:rFonts w:hint="eastAsia" w:eastAsia="宋体" w:cstheme="minorBidi"/>
          <w:bCs/>
          <w:color w:val="FF0000"/>
          <w:highlight w:val="none"/>
          <w:vertAlign w:val="superscript"/>
          <w:lang w:val="en-US" w:eastAsia="zh-CN"/>
        </w:rPr>
        <w:t>2</w:t>
      </w:r>
      <w:r>
        <w:rPr>
          <w:rFonts w:hint="default" w:ascii="Times New Roman" w:hAnsi="Times New Roman" w:eastAsia="宋体" w:cstheme="minorBidi"/>
          <w:bCs/>
          <w:color w:val="FF0000"/>
          <w:highlight w:val="none"/>
          <w:lang w:val="en-US" w:eastAsia="zh-CN"/>
        </w:rPr>
        <w:t>，生态环境影响评价等级为三级。</w:t>
      </w:r>
      <w:r>
        <w:rPr>
          <w:rFonts w:hint="eastAsia" w:eastAsia="宋体" w:cstheme="minorBidi"/>
          <w:bCs/>
          <w:color w:val="FF0000"/>
          <w:highlight w:val="none"/>
          <w:lang w:val="en-US" w:eastAsia="zh-CN"/>
        </w:rPr>
        <w:t>本项目为露天开采项目，本项目砂料场开采在山包上，开采完毕待恢复治理后不会导致矿区范围内土地利用明显改变，因此本项目评价工作等级最终确定本项目生态环境影响评价工作等级为三级。</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69" w:name="_Toc4442"/>
      <w:bookmarkStart w:id="70" w:name="_Toc8051036"/>
      <w:r>
        <w:rPr>
          <w:rFonts w:hint="eastAsia" w:ascii="Times New Roman" w:hAnsi="Times New Roman" w:eastAsia="宋体"/>
          <w:b/>
          <w:bCs w:val="0"/>
          <w:color w:val="auto"/>
          <w:sz w:val="30"/>
          <w:szCs w:val="30"/>
          <w:highlight w:val="none"/>
        </w:rPr>
        <w:t>2.</w:t>
      </w:r>
      <w:r>
        <w:rPr>
          <w:rFonts w:hint="eastAsia" w:ascii="Times New Roman" w:hAnsi="Times New Roman" w:eastAsia="宋体"/>
          <w:b/>
          <w:bCs w:val="0"/>
          <w:color w:val="auto"/>
          <w:sz w:val="30"/>
          <w:szCs w:val="30"/>
          <w:highlight w:val="none"/>
          <w:lang w:val="en-US" w:eastAsia="zh-CN"/>
        </w:rPr>
        <w:t>6</w:t>
      </w:r>
      <w:r>
        <w:rPr>
          <w:rFonts w:hint="eastAsia" w:ascii="Times New Roman" w:hAnsi="Times New Roman" w:eastAsia="宋体"/>
          <w:b/>
          <w:bCs w:val="0"/>
          <w:color w:val="auto"/>
          <w:sz w:val="30"/>
          <w:szCs w:val="30"/>
          <w:highlight w:val="none"/>
        </w:rPr>
        <w:t>.</w:t>
      </w:r>
      <w:r>
        <w:rPr>
          <w:rFonts w:hint="eastAsia" w:ascii="Times New Roman" w:hAnsi="Times New Roman" w:eastAsia="宋体"/>
          <w:b/>
          <w:bCs w:val="0"/>
          <w:color w:val="auto"/>
          <w:sz w:val="30"/>
          <w:szCs w:val="30"/>
          <w:highlight w:val="none"/>
          <w:lang w:val="en-US" w:eastAsia="zh-CN"/>
        </w:rPr>
        <w:t>6</w:t>
      </w:r>
      <w:r>
        <w:rPr>
          <w:rFonts w:hint="eastAsia" w:ascii="Times New Roman" w:hAnsi="Times New Roman" w:eastAsia="宋体"/>
          <w:b/>
          <w:bCs w:val="0"/>
          <w:color w:val="auto"/>
          <w:sz w:val="30"/>
          <w:szCs w:val="30"/>
          <w:highlight w:val="none"/>
        </w:rPr>
        <w:t xml:space="preserve"> 环境风险评价工作等级</w:t>
      </w:r>
      <w:bookmarkEnd w:id="67"/>
      <w:bookmarkEnd w:id="69"/>
      <w:bookmarkEnd w:id="70"/>
    </w:p>
    <w:p>
      <w:pPr>
        <w:spacing w:line="360" w:lineRule="auto"/>
        <w:ind w:firstLine="480"/>
        <w:rPr>
          <w:rFonts w:hint="eastAsia" w:ascii="Times New Roman" w:hAnsi="Times New Roman" w:eastAsia="宋体" w:cstheme="minorBidi"/>
          <w:color w:val="auto"/>
          <w:highlight w:val="none"/>
        </w:rPr>
      </w:pPr>
      <w:bookmarkStart w:id="71" w:name="_Toc8051037"/>
      <w:bookmarkStart w:id="72" w:name="_Toc2026556"/>
      <w:r>
        <w:rPr>
          <w:rFonts w:hint="eastAsia" w:ascii="Times New Roman" w:hAnsi="Times New Roman" w:eastAsia="宋体" w:cstheme="minorBidi"/>
          <w:color w:val="auto"/>
          <w:highlight w:val="none"/>
        </w:rPr>
        <w:t>（1）危险物质及工艺系统危险性（P）的分级确定</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分析本项目生产、使用、储存过程中涉及的有毒有害、易燃易爆物质，参照《建设项目环境风险评价技术导则》（HJ169-2018）附录B确定危险物质的临界量。定量分析危险物质数量与临界量的比值（Q）和所属行业及生产工艺特点（M），按照附录C对危险物质及工艺系统危险性（P）等级进行判断。</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危险物质数量与临界量的比值（Q）：计算所涉及的每种危险物质在厂界内的最大存在总量与其在附录B中对应临界量的比值Q。在不同厂区的同一种物质，按其在厂界内的最大存在总量计算。</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当只涉及一种危险物质时，计算该物质的总量与其临界值比值，即为Q；</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当存在多种危险物质时，则按下式计算物质总量与其临界值比值Q；</w:t>
      </w:r>
    </w:p>
    <w:p>
      <w:pPr>
        <w:spacing w:line="360" w:lineRule="auto"/>
        <w:ind w:firstLine="480"/>
        <w:rPr>
          <w:rFonts w:hint="eastAsia" w:ascii="Times New Roman" w:hAnsi="Times New Roman" w:eastAsia="宋体" w:cstheme="minorBidi"/>
          <w:color w:val="auto"/>
          <w:highlight w:val="none"/>
        </w:rPr>
      </w:pPr>
      <m:oMathPara>
        <m:oMath>
          <m:r>
            <m:rPr>
              <m:sty m:val="p"/>
            </m:rPr>
            <w:rPr>
              <w:rFonts w:hint="eastAsia" w:ascii="Cambria Math" w:hAnsi="Cambria Math" w:eastAsia="宋体" w:cstheme="minorBidi"/>
              <w:color w:val="auto"/>
              <w:highlight w:val="none"/>
            </w:rPr>
            <m:t>Q=</m:t>
          </m:r>
          <m:f>
            <m:fPr>
              <m:ctrlPr>
                <w:rPr>
                  <w:rFonts w:hint="eastAsia" w:ascii="Cambria Math" w:hAnsi="Cambria Math" w:eastAsia="宋体" w:cstheme="minorBidi"/>
                  <w:color w:val="auto"/>
                  <w:highlight w:val="none"/>
                </w:rPr>
              </m:ctrlPr>
            </m:fPr>
            <m:num>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1</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num>
            <m:den>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1</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den>
          </m:f>
          <m:r>
            <m:rPr>
              <m:sty m:val="p"/>
            </m:rPr>
            <w:rPr>
              <w:rFonts w:hint="eastAsia" w:ascii="Cambria Math" w:hAnsi="Cambria Math" w:eastAsia="宋体" w:cstheme="minorBidi"/>
              <w:color w:val="auto"/>
              <w:highlight w:val="none"/>
            </w:rPr>
            <m:t>+</m:t>
          </m:r>
          <m:f>
            <m:fPr>
              <m:ctrlPr>
                <w:rPr>
                  <w:rFonts w:hint="eastAsia" w:ascii="Cambria Math" w:hAnsi="Cambria Math" w:eastAsia="宋体" w:cstheme="minorBidi"/>
                  <w:color w:val="auto"/>
                  <w:highlight w:val="none"/>
                </w:rPr>
              </m:ctrlPr>
            </m:fPr>
            <m:num>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2</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num>
            <m:den>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2</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den>
          </m:f>
          <m:r>
            <m:rPr>
              <m:sty m:val="p"/>
            </m:rPr>
            <w:rPr>
              <w:rFonts w:hint="eastAsia" w:ascii="Cambria Math" w:hAnsi="Cambria Math" w:eastAsia="宋体" w:cstheme="minorBidi"/>
              <w:color w:val="auto"/>
              <w:highlight w:val="none"/>
            </w:rPr>
            <m:t>+⋯+</m:t>
          </m:r>
          <m:f>
            <m:fPr>
              <m:ctrlPr>
                <w:rPr>
                  <w:rFonts w:hint="eastAsia" w:ascii="Cambria Math" w:hAnsi="Cambria Math" w:eastAsia="宋体" w:cstheme="minorBidi"/>
                  <w:color w:val="auto"/>
                  <w:highlight w:val="none"/>
                </w:rPr>
              </m:ctrlPr>
            </m:fPr>
            <m:num>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n</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num>
            <m:den>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n</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den>
          </m:f>
        </m:oMath>
      </m:oMathPara>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式中：q</w:t>
      </w:r>
      <w:r>
        <w:rPr>
          <w:rFonts w:hint="eastAsia" w:ascii="Times New Roman" w:hAnsi="Times New Roman" w:eastAsia="宋体" w:cstheme="minorBidi"/>
          <w:color w:val="auto"/>
          <w:highlight w:val="none"/>
          <w:vertAlign w:val="subscript"/>
        </w:rPr>
        <w:t>1</w:t>
      </w:r>
      <w:r>
        <w:rPr>
          <w:rFonts w:hint="eastAsia" w:ascii="Times New Roman" w:hAnsi="Times New Roman" w:eastAsia="宋体" w:cstheme="minorBidi"/>
          <w:color w:val="auto"/>
          <w:highlight w:val="none"/>
        </w:rPr>
        <w:t>，q</w:t>
      </w:r>
      <w:r>
        <w:rPr>
          <w:rFonts w:hint="eastAsia" w:ascii="Times New Roman" w:hAnsi="Times New Roman" w:eastAsia="宋体" w:cstheme="minorBidi"/>
          <w:color w:val="auto"/>
          <w:highlight w:val="none"/>
          <w:vertAlign w:val="subscript"/>
        </w:rPr>
        <w:t>2</w:t>
      </w:r>
      <w:r>
        <w:rPr>
          <w:rFonts w:hint="eastAsia" w:ascii="Times New Roman" w:hAnsi="Times New Roman" w:eastAsia="宋体" w:cstheme="minorBidi"/>
          <w:color w:val="auto"/>
          <w:highlight w:val="none"/>
        </w:rPr>
        <w:t>，…，qn——每种危险物质的最大存在总量，t；</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Q</w:t>
      </w:r>
      <w:r>
        <w:rPr>
          <w:rFonts w:hint="eastAsia" w:ascii="Times New Roman" w:hAnsi="Times New Roman" w:eastAsia="宋体" w:cstheme="minorBidi"/>
          <w:color w:val="auto"/>
          <w:highlight w:val="none"/>
          <w:vertAlign w:val="subscript"/>
        </w:rPr>
        <w:t>1</w:t>
      </w:r>
      <w:r>
        <w:rPr>
          <w:rFonts w:hint="eastAsia" w:ascii="Times New Roman" w:hAnsi="Times New Roman" w:eastAsia="宋体" w:cstheme="minorBidi"/>
          <w:color w:val="auto"/>
          <w:highlight w:val="none"/>
        </w:rPr>
        <w:t>，Q</w:t>
      </w:r>
      <w:r>
        <w:rPr>
          <w:rFonts w:hint="eastAsia" w:ascii="Times New Roman" w:hAnsi="Times New Roman" w:eastAsia="宋体" w:cstheme="minorBidi"/>
          <w:color w:val="auto"/>
          <w:highlight w:val="none"/>
          <w:vertAlign w:val="subscript"/>
        </w:rPr>
        <w:t>2</w:t>
      </w:r>
      <w:r>
        <w:rPr>
          <w:rFonts w:hint="eastAsia" w:ascii="Times New Roman" w:hAnsi="Times New Roman" w:eastAsia="宋体" w:cstheme="minorBidi"/>
          <w:color w:val="auto"/>
          <w:highlight w:val="none"/>
        </w:rPr>
        <w:t>，…，Qn——每种危险物质的临界量，t；</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当Q&lt;1时，该项目环境风险潜势为Ⅰ。</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当Q≥1时，将Q值划分为：（1）1≤Q&lt;10；（2）10≤Q&lt;100（3）Q≥100</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根据《建设项目环境风险评价技术导则》（HJ169-20</w:t>
      </w:r>
      <w:r>
        <w:rPr>
          <w:rFonts w:hint="eastAsia" w:ascii="Times New Roman" w:hAnsi="Times New Roman" w:eastAsia="宋体" w:cstheme="minorBidi"/>
          <w:color w:val="auto"/>
          <w:highlight w:val="none"/>
          <w:lang w:val="en-US" w:eastAsia="zh-CN"/>
        </w:rPr>
        <w:t>18</w:t>
      </w:r>
      <w:r>
        <w:rPr>
          <w:rFonts w:hint="eastAsia" w:ascii="Times New Roman" w:hAnsi="Times New Roman" w:eastAsia="宋体" w:cstheme="minorBidi"/>
          <w:color w:val="auto"/>
          <w:highlight w:val="none"/>
        </w:rPr>
        <w:t>）附录</w:t>
      </w:r>
      <w:r>
        <w:rPr>
          <w:rFonts w:hint="eastAsia" w:ascii="Times New Roman" w:hAnsi="Times New Roman" w:eastAsia="宋体" w:cstheme="minorBidi"/>
          <w:color w:val="auto"/>
          <w:highlight w:val="none"/>
          <w:lang w:val="en-US" w:eastAsia="zh-CN"/>
        </w:rPr>
        <w:t>B</w:t>
      </w:r>
      <w:r>
        <w:rPr>
          <w:rFonts w:hint="eastAsia" w:ascii="Times New Roman" w:hAnsi="Times New Roman" w:eastAsia="宋体" w:cstheme="minorBidi"/>
          <w:color w:val="auto"/>
          <w:highlight w:val="none"/>
        </w:rPr>
        <w:t>中</w:t>
      </w:r>
      <w:r>
        <w:rPr>
          <w:rFonts w:hint="eastAsia" w:ascii="Times New Roman" w:hAnsi="Times New Roman" w:eastAsia="宋体" w:cstheme="minorBidi"/>
          <w:color w:val="auto"/>
          <w:highlight w:val="none"/>
          <w:lang w:eastAsia="zh-CN"/>
        </w:rPr>
        <w:t>突发环境事件风险物质及临界量表</w:t>
      </w:r>
      <w:r>
        <w:rPr>
          <w:rFonts w:hint="eastAsia" w:ascii="Times New Roman" w:hAnsi="Times New Roman" w:eastAsia="宋体" w:cstheme="minorBidi"/>
          <w:color w:val="auto"/>
          <w:highlight w:val="none"/>
        </w:rPr>
        <w:t>，对项目涉及的危险化学品进行识别，</w:t>
      </w:r>
      <w:r>
        <w:rPr>
          <w:rFonts w:hint="eastAsia" w:eastAsia="宋体" w:cstheme="minorBidi"/>
          <w:color w:val="FF0000"/>
          <w:highlight w:val="none"/>
          <w:lang w:val="en-US" w:eastAsia="zh-CN"/>
        </w:rPr>
        <w:t>本项目矿区内不存放柴油、车辆及设备维修委托苏尼特右旗朱日和雷鸣装载机配件修理厂进行维修、保养，产生的废矿物油不落地，由苏尼特右旗朱日和雷鸣装载机配件修理厂拉走，交由有资质单位处理处置，不在矿区内贮存。</w:t>
      </w:r>
      <w:r>
        <w:rPr>
          <w:rFonts w:hint="eastAsia" w:ascii="Times New Roman" w:hAnsi="Times New Roman" w:eastAsia="宋体" w:cstheme="minorBidi"/>
          <w:color w:val="auto"/>
          <w:highlight w:val="none"/>
        </w:rPr>
        <w:t>本项目</w:t>
      </w:r>
      <w:r>
        <w:rPr>
          <w:rFonts w:hint="eastAsia" w:eastAsia="宋体" w:cstheme="minorBidi"/>
          <w:color w:val="auto"/>
          <w:highlight w:val="none"/>
          <w:lang w:val="en-US" w:eastAsia="zh-CN"/>
        </w:rPr>
        <w:t>不</w:t>
      </w:r>
      <w:r>
        <w:rPr>
          <w:rFonts w:hint="eastAsia" w:ascii="Times New Roman" w:hAnsi="Times New Roman" w:eastAsia="宋体" w:cstheme="minorBidi"/>
          <w:color w:val="auto"/>
          <w:highlight w:val="none"/>
        </w:rPr>
        <w:t>涉及《建设项目环境风险评价技术导则》（HJ169-20</w:t>
      </w:r>
      <w:r>
        <w:rPr>
          <w:rFonts w:hint="eastAsia" w:ascii="Times New Roman" w:hAnsi="Times New Roman" w:eastAsia="宋体" w:cstheme="minorBidi"/>
          <w:color w:val="auto"/>
          <w:highlight w:val="none"/>
          <w:lang w:val="en-US" w:eastAsia="zh-CN"/>
        </w:rPr>
        <w:t>18</w:t>
      </w:r>
      <w:r>
        <w:rPr>
          <w:rFonts w:hint="eastAsia" w:ascii="Times New Roman" w:hAnsi="Times New Roman" w:eastAsia="宋体" w:cstheme="minorBidi"/>
          <w:color w:val="auto"/>
          <w:highlight w:val="none"/>
        </w:rPr>
        <w:t>）附录</w:t>
      </w:r>
      <w:r>
        <w:rPr>
          <w:rFonts w:hint="eastAsia" w:ascii="Times New Roman" w:hAnsi="Times New Roman" w:eastAsia="宋体" w:cstheme="minorBidi"/>
          <w:color w:val="auto"/>
          <w:highlight w:val="none"/>
          <w:lang w:val="en-US" w:eastAsia="zh-CN"/>
        </w:rPr>
        <w:t>B</w:t>
      </w:r>
      <w:r>
        <w:rPr>
          <w:rFonts w:hint="eastAsia" w:eastAsia="宋体" w:cstheme="minorBidi"/>
          <w:color w:val="auto"/>
          <w:highlight w:val="none"/>
          <w:lang w:val="en-US" w:eastAsia="zh-CN"/>
        </w:rPr>
        <w:t>中的</w:t>
      </w:r>
      <w:r>
        <w:rPr>
          <w:rFonts w:hint="eastAsia" w:ascii="Times New Roman" w:hAnsi="Times New Roman" w:eastAsia="宋体" w:cstheme="minorBidi"/>
          <w:color w:val="auto"/>
          <w:highlight w:val="none"/>
        </w:rPr>
        <w:t>的危险物质</w:t>
      </w:r>
      <w:r>
        <w:rPr>
          <w:rFonts w:hint="eastAsia" w:eastAsia="宋体" w:cstheme="minorBidi"/>
          <w:color w:val="auto"/>
          <w:highlight w:val="none"/>
          <w:lang w:eastAsia="zh-CN"/>
        </w:rPr>
        <w:t>，</w:t>
      </w:r>
      <w:r>
        <w:rPr>
          <w:rFonts w:hint="eastAsia" w:eastAsia="宋体" w:cstheme="minorBidi"/>
          <w:color w:val="auto"/>
          <w:highlight w:val="none"/>
          <w:lang w:val="en-US" w:eastAsia="zh-CN"/>
        </w:rPr>
        <w:t>因此本</w:t>
      </w:r>
      <w:r>
        <w:rPr>
          <w:rFonts w:hint="eastAsia" w:ascii="Times New Roman" w:hAnsi="Times New Roman" w:eastAsia="宋体" w:cstheme="minorBidi"/>
          <w:color w:val="auto"/>
          <w:highlight w:val="none"/>
        </w:rPr>
        <w:t>项目环境风险潜势为Ⅰ。</w:t>
      </w:r>
    </w:p>
    <w:p>
      <w:pPr>
        <w:spacing w:line="360" w:lineRule="auto"/>
        <w:ind w:firstLine="480"/>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环境风险评价等级判定结果见表2.6-</w:t>
      </w:r>
      <w:r>
        <w:rPr>
          <w:rFonts w:hint="eastAsia" w:eastAsia="宋体" w:cstheme="minorBidi"/>
          <w:color w:val="auto"/>
          <w:highlight w:val="none"/>
          <w:lang w:val="en-US" w:eastAsia="zh-CN"/>
        </w:rPr>
        <w:t>7</w:t>
      </w:r>
      <w:r>
        <w:rPr>
          <w:rFonts w:hint="eastAsia" w:ascii="Times New Roman" w:hAnsi="Times New Roman" w:eastAsia="宋体" w:cstheme="minorBidi"/>
          <w:color w:val="auto"/>
          <w:highlight w:val="none"/>
          <w:lang w:val="en-US" w:eastAsia="zh-CN"/>
        </w:rPr>
        <w:t>。</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表2.6-</w:t>
      </w:r>
      <w:r>
        <w:rPr>
          <w:rFonts w:hint="eastAsia" w:eastAsia="宋体" w:cstheme="minorBidi"/>
          <w:b/>
          <w:bCs/>
          <w:color w:val="auto"/>
          <w:highlight w:val="none"/>
          <w:lang w:val="en-US" w:eastAsia="zh-CN"/>
        </w:rPr>
        <w:t>7</w:t>
      </w:r>
      <w:r>
        <w:rPr>
          <w:rFonts w:hint="eastAsia" w:ascii="Times New Roman" w:hAnsi="Times New Roman" w:eastAsia="宋体" w:cstheme="minorBidi"/>
          <w:b/>
          <w:bCs/>
          <w:color w:val="auto"/>
          <w:highlight w:val="none"/>
          <w:lang w:val="en-US" w:eastAsia="zh-CN"/>
        </w:rPr>
        <w:t xml:space="preserve"> 环境风险评价工作等级划分</w:t>
      </w:r>
    </w:p>
    <w:tbl>
      <w:tblPr>
        <w:tblStyle w:val="36"/>
        <w:tblW w:w="8743"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501"/>
        <w:gridCol w:w="1814"/>
        <w:gridCol w:w="1814"/>
        <w:gridCol w:w="18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环境风险潜势</w:t>
            </w:r>
          </w:p>
        </w:tc>
        <w:tc>
          <w:tcPr>
            <w:tcW w:w="1501"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Ⅳ、Ⅳ</w:t>
            </w:r>
            <w:r>
              <w:rPr>
                <w:rFonts w:hint="eastAsia" w:ascii="Times New Roman" w:hAnsi="Times New Roman" w:eastAsia="宋体" w:cstheme="minorBidi"/>
                <w:color w:val="auto"/>
                <w:sz w:val="21"/>
                <w:szCs w:val="21"/>
                <w:highlight w:val="none"/>
                <w:vertAlign w:val="superscript"/>
                <w:lang w:val="en-US" w:eastAsia="zh-CN"/>
              </w:rPr>
              <w:t>+</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Ⅲ</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Ⅱ</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评价工作等级</w:t>
            </w:r>
          </w:p>
        </w:tc>
        <w:tc>
          <w:tcPr>
            <w:tcW w:w="1501"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一</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二</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三</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简单分析</w:t>
            </w:r>
          </w:p>
        </w:tc>
      </w:tr>
    </w:tbl>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lang w:val="en-US" w:eastAsia="zh-CN"/>
        </w:rPr>
        <w:t>根据表2.6-</w:t>
      </w:r>
      <w:r>
        <w:rPr>
          <w:rFonts w:hint="eastAsia" w:eastAsia="宋体" w:cstheme="minorBidi"/>
          <w:color w:val="auto"/>
          <w:highlight w:val="none"/>
          <w:lang w:val="en-US" w:eastAsia="zh-CN"/>
        </w:rPr>
        <w:t>7</w:t>
      </w:r>
      <w:r>
        <w:rPr>
          <w:rFonts w:hint="eastAsia" w:ascii="Times New Roman" w:hAnsi="Times New Roman" w:eastAsia="宋体" w:cstheme="minorBidi"/>
          <w:color w:val="auto"/>
          <w:highlight w:val="none"/>
          <w:lang w:val="en-US" w:eastAsia="zh-CN"/>
        </w:rPr>
        <w:t>环境风险潜势划分确定本项目环境风险评价等级为简单分析。</w:t>
      </w:r>
      <w:r>
        <w:rPr>
          <w:rFonts w:hint="eastAsia" w:ascii="Times New Roman" w:hAnsi="Times New Roman" w:eastAsia="宋体" w:cstheme="minorBidi"/>
          <w:color w:val="auto"/>
          <w:highlight w:val="none"/>
        </w:rPr>
        <w:t>按照《建设项目环境风险评价技术导则》（HJ169-2018）附录A要求在描述危险物质、环境影响途径、环境危害后果、风险防范措施等方面给出定性说明。</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FF0000"/>
          <w:sz w:val="30"/>
          <w:szCs w:val="30"/>
          <w:highlight w:val="none"/>
        </w:rPr>
      </w:pPr>
      <w:bookmarkStart w:id="73" w:name="_Toc23104"/>
      <w:r>
        <w:rPr>
          <w:rFonts w:hint="eastAsia" w:ascii="Times New Roman" w:hAnsi="Times New Roman" w:eastAsia="宋体"/>
          <w:b/>
          <w:bCs w:val="0"/>
          <w:color w:val="FF0000"/>
          <w:sz w:val="30"/>
          <w:szCs w:val="30"/>
          <w:highlight w:val="none"/>
        </w:rPr>
        <w:t>2.</w:t>
      </w:r>
      <w:r>
        <w:rPr>
          <w:rFonts w:hint="eastAsia" w:ascii="Times New Roman" w:hAnsi="Times New Roman" w:eastAsia="宋体"/>
          <w:b/>
          <w:bCs w:val="0"/>
          <w:color w:val="FF0000"/>
          <w:sz w:val="30"/>
          <w:szCs w:val="30"/>
          <w:highlight w:val="none"/>
          <w:lang w:val="en-US" w:eastAsia="zh-CN"/>
        </w:rPr>
        <w:t>6</w:t>
      </w:r>
      <w:r>
        <w:rPr>
          <w:rFonts w:hint="eastAsia" w:ascii="Times New Roman" w:hAnsi="Times New Roman" w:eastAsia="宋体"/>
          <w:b/>
          <w:bCs w:val="0"/>
          <w:color w:val="FF0000"/>
          <w:sz w:val="30"/>
          <w:szCs w:val="30"/>
          <w:highlight w:val="none"/>
        </w:rPr>
        <w:t>.</w:t>
      </w:r>
      <w:r>
        <w:rPr>
          <w:rFonts w:hint="eastAsia" w:ascii="Times New Roman" w:hAnsi="Times New Roman" w:eastAsia="宋体"/>
          <w:b/>
          <w:bCs w:val="0"/>
          <w:color w:val="FF0000"/>
          <w:sz w:val="30"/>
          <w:szCs w:val="30"/>
          <w:highlight w:val="none"/>
          <w:lang w:val="en-US" w:eastAsia="zh-CN"/>
        </w:rPr>
        <w:t>7</w:t>
      </w:r>
      <w:r>
        <w:rPr>
          <w:rFonts w:hint="eastAsia" w:ascii="Times New Roman" w:hAnsi="Times New Roman" w:eastAsia="宋体"/>
          <w:b/>
          <w:bCs w:val="0"/>
          <w:color w:val="FF0000"/>
          <w:sz w:val="30"/>
          <w:szCs w:val="30"/>
          <w:highlight w:val="none"/>
        </w:rPr>
        <w:t xml:space="preserve"> 土壤环境评价工作等级</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（1）土壤环境影响类型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根据《环境影响评价技术导则 土壤环境（试行）》（HJ964-2018）附录 A， 本项目属于</w:t>
      </w:r>
      <w:r>
        <w:rPr>
          <w:rFonts w:hint="eastAsia" w:eastAsia="宋体"/>
          <w:color w:val="FF0000"/>
          <w:highlight w:val="none"/>
          <w:lang w:val="en-US" w:eastAsia="zh-CN"/>
        </w:rPr>
        <w:t>非金属矿</w:t>
      </w:r>
      <w:r>
        <w:rPr>
          <w:rFonts w:hint="eastAsia" w:ascii="Times New Roman" w:hAnsi="Times New Roman" w:eastAsia="宋体"/>
          <w:color w:val="FF0000"/>
          <w:highlight w:val="none"/>
          <w:lang w:val="en-US" w:eastAsia="zh-CN"/>
        </w:rPr>
        <w:t>的开采项目，为“采矿业其它类”属于Ⅲ类项目。根据项目对土壤环境的影响途径、影响范围，其可能会引起土壤物理、化学、生物等特性的改变，因此项目土壤环境影响类型为污染影响型。且本项目为砂石开采，不会造成地表土壤的盐化、酸化、碱化。</w:t>
      </w:r>
    </w:p>
    <w:p>
      <w:pPr>
        <w:pStyle w:val="13"/>
        <w:spacing w:before="36" w:line="338" w:lineRule="auto"/>
        <w:ind w:left="0" w:leftChars="0" w:right="146" w:rightChars="0" w:firstLine="480" w:firstLineChars="200"/>
        <w:jc w:val="left"/>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）土壤环境敏感程度</w:t>
      </w:r>
    </w:p>
    <w:p>
      <w:pPr>
        <w:pStyle w:val="13"/>
        <w:spacing w:before="36" w:line="338" w:lineRule="auto"/>
        <w:ind w:left="0" w:leftChars="0" w:right="146" w:rightChars="0" w:firstLine="480" w:firstLineChars="200"/>
        <w:jc w:val="left"/>
        <w:rPr>
          <w:rFonts w:hint="default" w:ascii="Times New Roman" w:hAnsi="Times New Roman" w:eastAsia="宋体" w:cs="Times New Roman"/>
          <w:color w:val="FF0000"/>
          <w:kern w:val="2"/>
          <w:sz w:val="24"/>
          <w:szCs w:val="22"/>
          <w:highlight w:val="none"/>
          <w:lang w:val="en-US" w:eastAsia="zh-CN" w:bidi="ar-SA"/>
        </w:rPr>
      </w:pPr>
      <w:r>
        <w:rPr>
          <w:rFonts w:ascii="Times New Roman" w:hAnsi="Times New Roman" w:eastAsia="宋体"/>
          <w:color w:val="FF0000"/>
          <w:highlight w:val="none"/>
        </w:rPr>
        <w:t>土壤环境敏感程度建设项目所在地周边的土壤环境敏程度判别依据见表</w:t>
      </w:r>
      <w:r>
        <w:rPr>
          <w:rFonts w:hint="eastAsia" w:ascii="Times New Roman" w:hAnsi="Times New Roman" w:eastAsia="宋体" w:cs="Times New Roman"/>
          <w:color w:val="FF0000"/>
          <w:kern w:val="2"/>
          <w:sz w:val="24"/>
          <w:szCs w:val="22"/>
          <w:highlight w:val="none"/>
          <w:lang w:val="en-US" w:eastAsia="zh-CN" w:bidi="ar-SA"/>
        </w:rPr>
        <w:t>2.6-</w:t>
      </w:r>
      <w:r>
        <w:rPr>
          <w:rFonts w:hint="eastAsia" w:eastAsia="宋体" w:cs="Times New Roman"/>
          <w:color w:val="FF0000"/>
          <w:kern w:val="2"/>
          <w:sz w:val="24"/>
          <w:szCs w:val="22"/>
          <w:highlight w:val="none"/>
          <w:lang w:val="en-US" w:eastAsia="zh-CN" w:bidi="ar-SA"/>
        </w:rPr>
        <w:t>8</w:t>
      </w:r>
      <w:r>
        <w:rPr>
          <w:rFonts w:hint="eastAsia" w:ascii="Times New Roman" w:hAnsi="Times New Roman" w:eastAsia="宋体" w:cs="Times New Roman"/>
          <w:color w:val="FF0000"/>
          <w:kern w:val="2"/>
          <w:sz w:val="24"/>
          <w:szCs w:val="22"/>
          <w:highlight w:val="none"/>
          <w:lang w:val="en-US" w:eastAsia="zh-CN" w:bidi="ar-SA"/>
        </w:rPr>
        <w:t>。</w:t>
      </w:r>
    </w:p>
    <w:p>
      <w:pPr>
        <w:tabs>
          <w:tab w:val="left" w:pos="3452"/>
        </w:tabs>
        <w:spacing w:line="280" w:lineRule="exact"/>
        <w:ind w:left="2413" w:right="217"/>
        <w:jc w:val="left"/>
        <w:outlineLvl w:val="9"/>
        <w:rPr>
          <w:rFonts w:ascii="Times New Roman" w:hAnsi="Times New Roman" w:eastAsia="宋体"/>
          <w:b/>
          <w:bCs/>
          <w:color w:val="FF0000"/>
          <w:highlight w:val="none"/>
        </w:rPr>
      </w:pPr>
      <w:r>
        <w:rPr>
          <w:rFonts w:ascii="Times New Roman" w:hAnsi="Times New Roman" w:eastAsia="宋体"/>
          <w:b/>
          <w:bCs/>
          <w:color w:val="FF0000"/>
          <w:highlight w:val="none"/>
        </w:rPr>
        <w:t>表</w:t>
      </w:r>
      <w:r>
        <w:rPr>
          <w:rFonts w:ascii="Times New Roman" w:hAnsi="Times New Roman" w:eastAsia="宋体"/>
          <w:b/>
          <w:bCs/>
          <w:color w:val="FF0000"/>
          <w:spacing w:val="-63"/>
          <w:highlight w:val="none"/>
        </w:rPr>
        <w:t xml:space="preserve"> </w:t>
      </w:r>
      <w:r>
        <w:rPr>
          <w:rFonts w:hint="eastAsia" w:ascii="Times New Roman" w:hAnsi="Times New Roman" w:eastAsia="宋体" w:cs="Times New Roman"/>
          <w:b/>
          <w:bCs/>
          <w:color w:val="FF0000"/>
          <w:highlight w:val="none"/>
          <w:lang w:val="en-US" w:eastAsia="zh-CN"/>
        </w:rPr>
        <w:t>2.6-</w:t>
      </w:r>
      <w:r>
        <w:rPr>
          <w:rFonts w:hint="eastAsia" w:eastAsia="宋体" w:cs="Times New Roman"/>
          <w:b/>
          <w:bCs/>
          <w:color w:val="FF0000"/>
          <w:highlight w:val="none"/>
          <w:lang w:val="en-US" w:eastAsia="zh-CN"/>
        </w:rPr>
        <w:t>8</w:t>
      </w:r>
      <w:r>
        <w:rPr>
          <w:rFonts w:hint="default" w:ascii="Times New Roman" w:hAnsi="Times New Roman" w:eastAsia="宋体" w:cs="Times New Roman"/>
          <w:b/>
          <w:bCs/>
          <w:color w:val="FF0000"/>
          <w:highlight w:val="none"/>
        </w:rPr>
        <w:tab/>
      </w:r>
      <w:r>
        <w:rPr>
          <w:rFonts w:ascii="Times New Roman" w:hAnsi="Times New Roman" w:eastAsia="宋体"/>
          <w:b/>
          <w:bCs/>
          <w:color w:val="FF0000"/>
          <w:highlight w:val="none"/>
        </w:rPr>
        <w:t>污染影响型敏感程度分级表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682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exact"/>
        </w:trPr>
        <w:tc>
          <w:tcPr>
            <w:tcW w:w="1276" w:type="dxa"/>
            <w:tcBorders>
              <w:tl2br w:val="nil"/>
              <w:tr2bl w:val="nil"/>
            </w:tcBorders>
            <w:vAlign w:val="center"/>
          </w:tcPr>
          <w:p>
            <w:pPr>
              <w:pStyle w:val="118"/>
              <w:spacing w:line="262" w:lineRule="exact"/>
              <w:ind w:left="0" w:leftChars="0" w:right="2"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敏感程度</w:t>
            </w:r>
          </w:p>
        </w:tc>
        <w:tc>
          <w:tcPr>
            <w:tcW w:w="6828" w:type="dxa"/>
            <w:tcBorders>
              <w:tl2br w:val="nil"/>
              <w:tr2bl w:val="nil"/>
            </w:tcBorders>
            <w:vAlign w:val="center"/>
          </w:tcPr>
          <w:p>
            <w:pPr>
              <w:pStyle w:val="118"/>
              <w:spacing w:line="262" w:lineRule="exact"/>
              <w:ind w:left="0" w:leftChars="0" w:right="1"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判别依据</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exact"/>
        </w:trPr>
        <w:tc>
          <w:tcPr>
            <w:tcW w:w="1276"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敏感</w:t>
            </w:r>
          </w:p>
        </w:tc>
        <w:tc>
          <w:tcPr>
            <w:tcW w:w="6828" w:type="dxa"/>
            <w:tcBorders>
              <w:tl2br w:val="nil"/>
              <w:tr2bl w:val="nil"/>
            </w:tcBorders>
            <w:vAlign w:val="center"/>
          </w:tcPr>
          <w:p>
            <w:pPr>
              <w:pStyle w:val="118"/>
              <w:spacing w:before="37" w:line="240" w:lineRule="auto"/>
              <w:ind w:left="0" w:leftChars="0" w:right="2" w:firstLine="0" w:firstLineChars="0"/>
              <w:jc w:val="center"/>
              <w:rPr>
                <w:rFonts w:hint="default" w:ascii="Times New Roman" w:hAnsi="Times New Roman" w:eastAsia="宋体" w:cs="宋体"/>
                <w:color w:val="FF0000"/>
                <w:sz w:val="21"/>
                <w:szCs w:val="21"/>
                <w:highlight w:val="none"/>
                <w:lang w:val="en-US" w:eastAsia="zh-CN"/>
              </w:rPr>
            </w:pPr>
            <w:r>
              <w:rPr>
                <w:rFonts w:hint="eastAsia" w:eastAsia="宋体" w:cs="宋体"/>
                <w:color w:val="FF0000"/>
                <w:sz w:val="21"/>
                <w:szCs w:val="21"/>
                <w:highlight w:val="none"/>
                <w:lang w:val="en-US" w:eastAsia="zh-CN"/>
              </w:rPr>
              <w:t>建设项目周边存在耕地、园地、牧草地、饮用水源地或居民区、学校、医院、疗养院、养老院等土壤环境保护目标的</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exact"/>
        </w:trPr>
        <w:tc>
          <w:tcPr>
            <w:tcW w:w="1276"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较敏感</w:t>
            </w:r>
          </w:p>
        </w:tc>
        <w:tc>
          <w:tcPr>
            <w:tcW w:w="6828"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color w:val="FF0000"/>
                <w:sz w:val="21"/>
                <w:szCs w:val="21"/>
                <w:highlight w:val="none"/>
                <w:lang w:val="en-US"/>
              </w:rPr>
            </w:pPr>
            <w:r>
              <w:rPr>
                <w:rFonts w:hint="eastAsia" w:eastAsia="宋体" w:cs="宋体"/>
                <w:color w:val="FF0000"/>
                <w:sz w:val="21"/>
                <w:szCs w:val="21"/>
                <w:highlight w:val="none"/>
                <w:lang w:val="en-US" w:eastAsia="zh-CN"/>
              </w:rPr>
              <w:t>建设项目周边存在其他环境敏感目标的</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exact"/>
        </w:trPr>
        <w:tc>
          <w:tcPr>
            <w:tcW w:w="1276"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不敏感</w:t>
            </w:r>
          </w:p>
        </w:tc>
        <w:tc>
          <w:tcPr>
            <w:tcW w:w="6828"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color w:val="FF0000"/>
                <w:sz w:val="21"/>
                <w:szCs w:val="21"/>
                <w:highlight w:val="none"/>
                <w:lang w:val="en-US" w:eastAsia="zh-CN"/>
              </w:rPr>
            </w:pPr>
            <w:r>
              <w:rPr>
                <w:rFonts w:hint="eastAsia" w:eastAsia="宋体" w:cs="宋体"/>
                <w:color w:val="FF0000"/>
                <w:sz w:val="21"/>
                <w:szCs w:val="21"/>
                <w:highlight w:val="none"/>
                <w:lang w:val="en-US" w:eastAsia="zh-CN"/>
              </w:rPr>
              <w:t>其他情况</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ascii="Times New Roman" w:hAnsi="Times New Roman" w:eastAsia="宋体"/>
          <w:color w:val="FF0000"/>
        </w:rPr>
        <w:t>矿区范围周边分布有</w:t>
      </w:r>
      <w:r>
        <w:rPr>
          <w:rFonts w:hint="eastAsia" w:ascii="Times New Roman" w:hAnsi="Times New Roman" w:eastAsia="宋体"/>
          <w:color w:val="FF0000"/>
          <w:lang w:val="en-US" w:eastAsia="zh-CN"/>
        </w:rPr>
        <w:t>牧草地</w:t>
      </w:r>
      <w:r>
        <w:rPr>
          <w:rFonts w:ascii="Times New Roman" w:hAnsi="Times New Roman" w:eastAsia="宋体"/>
          <w:color w:val="FF0000"/>
        </w:rPr>
        <w:t>，因此敏感程度为敏感。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（3）占地规模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工程占地面积为103000m</w:t>
      </w:r>
      <w:r>
        <w:rPr>
          <w:rFonts w:hint="eastAsia" w:ascii="Times New Roman" w:hAnsi="Times New Roman" w:eastAsia="宋体"/>
          <w:color w:val="FF0000"/>
          <w:highlight w:val="none"/>
          <w:vertAlign w:val="superscript"/>
          <w:lang w:val="en-US" w:eastAsia="zh-CN"/>
        </w:rPr>
        <w:t>2</w:t>
      </w:r>
      <w:r>
        <w:rPr>
          <w:rFonts w:hint="eastAsia" w:ascii="Times New Roman" w:hAnsi="Times New Roman" w:eastAsia="宋体"/>
          <w:color w:val="FF0000"/>
          <w:highlight w:val="none"/>
          <w:lang w:val="en-US" w:eastAsia="zh-CN"/>
        </w:rPr>
        <w:t>，占地规模属于中型（5~50hm</w:t>
      </w:r>
      <w:r>
        <w:rPr>
          <w:rFonts w:hint="eastAsia" w:ascii="Times New Roman" w:hAnsi="Times New Roman" w:eastAsia="宋体"/>
          <w:color w:val="FF0000"/>
          <w:highlight w:val="none"/>
          <w:vertAlign w:val="superscript"/>
          <w:lang w:val="en-US" w:eastAsia="zh-CN"/>
        </w:rPr>
        <w:t>2</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（4）评价等级</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污染影响型建设项目土壤评价工作等级划分依据见表2.6-9。</w:t>
      </w:r>
    </w:p>
    <w:p>
      <w:pPr>
        <w:pStyle w:val="51"/>
        <w:outlineLvl w:val="9"/>
        <w:rPr>
          <w:rFonts w:ascii="Times New Roman" w:hAnsi="Times New Roman" w:eastAsia="宋体"/>
          <w:color w:val="FF0000"/>
          <w:highlight w:val="none"/>
        </w:rPr>
      </w:pPr>
      <w:r>
        <w:rPr>
          <w:rFonts w:hint="eastAsia" w:ascii="Times New Roman" w:hAnsi="Times New Roman" w:eastAsia="宋体"/>
          <w:b/>
          <w:bCs/>
          <w:color w:val="FF0000"/>
          <w:highlight w:val="none"/>
        </w:rPr>
        <w:t>表2.</w:t>
      </w:r>
      <w:r>
        <w:rPr>
          <w:rFonts w:hint="eastAsia" w:ascii="Times New Roman" w:hAnsi="Times New Roman" w:eastAsia="宋体"/>
          <w:b/>
          <w:bCs/>
          <w:color w:val="FF0000"/>
          <w:highlight w:val="none"/>
          <w:lang w:val="en-US" w:eastAsia="zh-CN"/>
        </w:rPr>
        <w:t>6</w:t>
      </w:r>
      <w:r>
        <w:rPr>
          <w:rFonts w:hint="eastAsia" w:ascii="Times New Roman" w:hAnsi="Times New Roman" w:eastAsia="宋体"/>
          <w:b/>
          <w:bCs/>
          <w:color w:val="FF0000"/>
          <w:highlight w:val="none"/>
        </w:rPr>
        <w:t>-</w:t>
      </w:r>
      <w:r>
        <w:rPr>
          <w:rFonts w:hint="eastAsia" w:ascii="Times New Roman" w:hAnsi="Times New Roman" w:eastAsia="宋体"/>
          <w:b/>
          <w:bCs/>
          <w:color w:val="FF0000"/>
          <w:highlight w:val="none"/>
          <w:lang w:val="en-US" w:eastAsia="zh-CN"/>
        </w:rPr>
        <w:t>9</w:t>
      </w:r>
      <w:r>
        <w:rPr>
          <w:rFonts w:hint="eastAsia" w:ascii="Times New Roman" w:hAnsi="Times New Roman" w:eastAsia="宋体"/>
          <w:b/>
          <w:bCs/>
          <w:color w:val="FF0000"/>
          <w:highlight w:val="none"/>
        </w:rPr>
        <w:t xml:space="preserve">   土壤环境——</w:t>
      </w:r>
      <w:r>
        <w:rPr>
          <w:rFonts w:hint="eastAsia" w:ascii="Times New Roman" w:hAnsi="Times New Roman" w:eastAsia="宋体"/>
          <w:b/>
          <w:bCs/>
          <w:color w:val="FF0000"/>
          <w:highlight w:val="none"/>
          <w:lang w:val="en-US" w:eastAsia="zh-CN"/>
        </w:rPr>
        <w:t>污染</w:t>
      </w:r>
      <w:r>
        <w:rPr>
          <w:rFonts w:hint="eastAsia" w:ascii="Times New Roman" w:hAnsi="Times New Roman" w:eastAsia="宋体"/>
          <w:b/>
          <w:bCs/>
          <w:color w:val="FF0000"/>
          <w:highlight w:val="none"/>
        </w:rPr>
        <w:t>影响型评价工作等级划分表</w:t>
      </w:r>
    </w:p>
    <w:tbl>
      <w:tblPr>
        <w:tblStyle w:val="35"/>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09"/>
        <w:gridCol w:w="709"/>
        <w:gridCol w:w="709"/>
        <w:gridCol w:w="708"/>
        <w:gridCol w:w="708"/>
        <w:gridCol w:w="710"/>
        <w:gridCol w:w="725"/>
        <w:gridCol w:w="725"/>
        <w:gridCol w:w="7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3" w:type="dxa"/>
            <w:vMerge w:val="restart"/>
            <w:tcBorders>
              <w:tl2br w:val="nil"/>
              <w:tr2bl w:val="nil"/>
            </w:tcBorders>
            <w:vAlign w:val="center"/>
          </w:tcPr>
          <w:p>
            <w:pPr>
              <w:pStyle w:val="52"/>
              <w:jc w:val="right"/>
              <w:outlineLvl w:val="9"/>
              <w:rPr>
                <w:rFonts w:hint="default" w:ascii="Times New Roman" w:hAnsi="Times New Roman" w:eastAsia="宋体"/>
                <w:color w:val="FF0000"/>
                <w:highlight w:val="none"/>
                <w:lang w:val="en-US" w:eastAsia="zh-CN"/>
              </w:rPr>
            </w:pPr>
            <w:r>
              <w:rPr>
                <w:rFonts w:hint="default" w:ascii="Times New Roman" w:hAnsi="Times New Roman" w:eastAsia="宋体"/>
                <w:color w:val="FF0000"/>
                <w:highlight w:val="none"/>
                <w:lang w:val="en-US"/>
              </w:rPr>
              <mc:AlternateContent>
                <mc:Choice Requires="wps">
                  <w:drawing>
                    <wp:anchor distT="0" distB="0" distL="114300" distR="114300" simplePos="0" relativeHeight="251672576" behindDoc="0" locked="0" layoutInCell="1" allowOverlap="1">
                      <wp:simplePos x="0" y="0"/>
                      <wp:positionH relativeFrom="column">
                        <wp:posOffset>431800</wp:posOffset>
                      </wp:positionH>
                      <wp:positionV relativeFrom="paragraph">
                        <wp:posOffset>20320</wp:posOffset>
                      </wp:positionV>
                      <wp:extent cx="822960" cy="477520"/>
                      <wp:effectExtent l="2540" t="3810" r="12700" b="13970"/>
                      <wp:wrapNone/>
                      <wp:docPr id="85" name="直接连接符 85"/>
                      <wp:cNvGraphicFramePr/>
                      <a:graphic xmlns:a="http://schemas.openxmlformats.org/drawingml/2006/main">
                        <a:graphicData uri="http://schemas.microsoft.com/office/word/2010/wordprocessingShape">
                          <wps:wsp>
                            <wps:cNvCnPr/>
                            <wps:spPr>
                              <a:xfrm>
                                <a:off x="0" y="0"/>
                                <a:ext cx="822960" cy="477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pt;margin-top:1.6pt;height:37.6pt;width:64.8pt;z-index:251672576;mso-width-relative:page;mso-height-relative:page;" filled="f" stroked="t" coordsize="21600,21600" o:gfxdata="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D4w51gAAAAcBAAAPAAAAAAAAAAEAIAAAACIAAABkcnMvZG93bnJldi54bWxQSwEC&#10;FAAUAAAACACHTuJAnQqqvvYBAADZAwAADgAAAAAAAAABACAAAAAlAQAAZHJzL2Uyb0RvYy54bWxQ&#10;SwUGAAAAAAYABgBZAQAAjQUAAAAA&#10;">
                      <v:fill on="f" focussize="0,0"/>
                      <v:stroke color="#000000 [3200]" joinstyle="round"/>
                      <v:imagedata o:title=""/>
                      <o:lock v:ext="edit" aspectratio="f"/>
                    </v:line>
                  </w:pict>
                </mc:Fallback>
              </mc:AlternateContent>
            </w:r>
            <w:r>
              <w:rPr>
                <w:rFonts w:hint="eastAsia" w:ascii="Times New Roman" w:hAnsi="Times New Roman"/>
                <w:color w:val="FF0000"/>
                <w:highlight w:val="none"/>
                <w:lang w:val="en-US" w:eastAsia="zh-CN"/>
              </w:rPr>
              <w:t>项目类别</w:t>
            </w:r>
          </w:p>
          <w:p>
            <w:pPr>
              <w:pStyle w:val="52"/>
              <w:jc w:val="both"/>
              <w:outlineLvl w:val="9"/>
              <w:rPr>
                <w:rFonts w:ascii="Times New Roman" w:hAnsi="Times New Roman" w:eastAsia="宋体"/>
                <w:color w:val="FF0000"/>
                <w:highlight w:val="none"/>
              </w:rPr>
            </w:pPr>
            <w:r>
              <w:rPr>
                <w:rFonts w:hint="eastAsia" w:ascii="Times New Roman" w:hAnsi="Times New Roman" w:eastAsia="宋体"/>
                <w:color w:val="FF0000"/>
                <w:highlight w:val="none"/>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111760</wp:posOffset>
                      </wp:positionV>
                      <wp:extent cx="1330960" cy="213360"/>
                      <wp:effectExtent l="635" t="4445" r="1905" b="10795"/>
                      <wp:wrapNone/>
                      <wp:docPr id="104" name="直接连接符 104"/>
                      <wp:cNvGraphicFramePr/>
                      <a:graphic xmlns:a="http://schemas.openxmlformats.org/drawingml/2006/main">
                        <a:graphicData uri="http://schemas.microsoft.com/office/word/2010/wordprocessingShape">
                          <wps:wsp>
                            <wps:cNvCnPr/>
                            <wps:spPr>
                              <a:xfrm>
                                <a:off x="0" y="0"/>
                                <a:ext cx="1330960" cy="213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pt;margin-top:8.8pt;height:16.8pt;width:104.8pt;z-index:251673600;mso-width-relative:page;mso-height-relative:page;" filled="f" stroked="t" coordsize="21600,21600" o:gfxdata="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8NOcfXAAAACQEAAA8AAAAA&#10;AAAAAQAgAAAAIgAAAGRycy9kb3ducmV2LnhtbFBLAQIUABQAAAAIAIdO4kCW48NG3AEAAKMDAAAO&#10;AAAAAAAAAAEAIAAAACYBAABkcnMvZTJvRG9jLnhtbFBLBQYAAAAABgAGAFkBAAB0BQAAAAA=&#10;">
                      <v:fill on="f" focussize="0,0"/>
                      <v:stroke color="#000000 [3213]" joinstyle="round"/>
                      <v:imagedata o:title=""/>
                      <o:lock v:ext="edit" aspectratio="f"/>
                    </v:line>
                  </w:pict>
                </mc:Fallback>
              </mc:AlternateContent>
            </w:r>
            <w:r>
              <w:rPr>
                <w:rFonts w:hint="eastAsia" w:ascii="Times New Roman" w:hAnsi="Times New Roman" w:eastAsia="宋体"/>
                <w:color w:val="FF0000"/>
                <w:highlight w:val="none"/>
              </w:rPr>
              <w:t>评价工作等级</w:t>
            </w:r>
          </w:p>
          <w:p>
            <w:pPr>
              <w:pStyle w:val="52"/>
              <w:jc w:val="left"/>
              <w:outlineLvl w:val="9"/>
              <w:rPr>
                <w:rFonts w:ascii="Times New Roman" w:hAnsi="Times New Roman" w:eastAsia="宋体"/>
                <w:color w:val="FF0000"/>
                <w:highlight w:val="none"/>
              </w:rPr>
            </w:pPr>
            <w:r>
              <w:rPr>
                <w:rFonts w:hint="eastAsia" w:ascii="Times New Roman" w:hAnsi="Times New Roman" w:eastAsia="宋体"/>
                <w:color w:val="FF0000"/>
                <w:highlight w:val="none"/>
              </w:rPr>
              <w:t>敏感程度</w:t>
            </w:r>
          </w:p>
        </w:tc>
        <w:tc>
          <w:tcPr>
            <w:tcW w:w="2127" w:type="dxa"/>
            <w:gridSpan w:val="3"/>
            <w:tcBorders>
              <w:tl2br w:val="nil"/>
              <w:tr2bl w:val="nil"/>
            </w:tcBorders>
            <w:vAlign w:val="center"/>
          </w:tcPr>
          <w:p>
            <w:pPr>
              <w:pStyle w:val="52"/>
              <w:outlineLvl w:val="9"/>
              <w:rPr>
                <w:rFonts w:hint="eastAsia" w:ascii="Times New Roman" w:hAnsi="Times New Roman" w:eastAsia="宋体"/>
                <w:color w:val="FF0000"/>
                <w:highlight w:val="none"/>
              </w:rPr>
            </w:pPr>
            <w:r>
              <w:rPr>
                <w:rFonts w:hint="eastAsia" w:ascii="Times New Roman" w:hAnsi="Times New Roman" w:eastAsia="宋体"/>
                <w:color w:val="FF0000"/>
                <w:highlight w:val="none"/>
              </w:rPr>
              <w:t>Ⅰ类</w:t>
            </w:r>
          </w:p>
        </w:tc>
        <w:tc>
          <w:tcPr>
            <w:tcW w:w="2126" w:type="dxa"/>
            <w:gridSpan w:val="3"/>
            <w:tcBorders>
              <w:tl2br w:val="nil"/>
              <w:tr2bl w:val="nil"/>
            </w:tcBorders>
            <w:vAlign w:val="center"/>
          </w:tcPr>
          <w:p>
            <w:pPr>
              <w:pStyle w:val="52"/>
              <w:outlineLvl w:val="9"/>
              <w:rPr>
                <w:rFonts w:hint="eastAsia" w:ascii="Times New Roman" w:hAnsi="Times New Roman" w:eastAsia="宋体"/>
                <w:color w:val="FF0000"/>
                <w:highlight w:val="none"/>
              </w:rPr>
            </w:pPr>
            <w:r>
              <w:rPr>
                <w:rFonts w:hint="eastAsia" w:ascii="Times New Roman" w:hAnsi="Times New Roman" w:eastAsia="宋体"/>
                <w:color w:val="FF0000"/>
                <w:highlight w:val="none"/>
              </w:rPr>
              <w:t>Ⅱ类</w:t>
            </w:r>
          </w:p>
        </w:tc>
        <w:tc>
          <w:tcPr>
            <w:tcW w:w="2176" w:type="dxa"/>
            <w:gridSpan w:val="3"/>
            <w:tcBorders>
              <w:tl2br w:val="nil"/>
              <w:tr2bl w:val="nil"/>
            </w:tcBorders>
            <w:vAlign w:val="center"/>
          </w:tcPr>
          <w:p>
            <w:pPr>
              <w:pStyle w:val="52"/>
              <w:outlineLvl w:val="9"/>
              <w:rPr>
                <w:rFonts w:hint="eastAsia" w:ascii="Times New Roman" w:hAnsi="Times New Roman" w:eastAsia="宋体"/>
                <w:color w:val="FF0000"/>
                <w:highlight w:val="none"/>
              </w:rPr>
            </w:pPr>
            <w:r>
              <w:rPr>
                <w:rFonts w:hint="eastAsia" w:ascii="Times New Roman" w:hAnsi="Times New Roman" w:eastAsia="宋体"/>
                <w:color w:val="FF0000"/>
                <w:highlight w:val="none"/>
              </w:rPr>
              <w:t>Ⅲ类</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3" w:type="dxa"/>
            <w:vMerge w:val="continue"/>
            <w:tcBorders>
              <w:tl2br w:val="nil"/>
              <w:tr2bl w:val="nil"/>
            </w:tcBorders>
            <w:vAlign w:val="center"/>
          </w:tcPr>
          <w:p>
            <w:pPr>
              <w:pStyle w:val="52"/>
              <w:outlineLvl w:val="9"/>
              <w:rPr>
                <w:rFonts w:ascii="Times New Roman" w:hAnsi="Times New Roman"/>
                <w:color w:val="FF0000"/>
                <w:highlight w:val="none"/>
              </w:rPr>
            </w:pPr>
          </w:p>
        </w:tc>
        <w:tc>
          <w:tcPr>
            <w:tcW w:w="709"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大</w:t>
            </w:r>
          </w:p>
        </w:tc>
        <w:tc>
          <w:tcPr>
            <w:tcW w:w="709"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中</w:t>
            </w:r>
          </w:p>
        </w:tc>
        <w:tc>
          <w:tcPr>
            <w:tcW w:w="709"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小</w:t>
            </w:r>
          </w:p>
        </w:tc>
        <w:tc>
          <w:tcPr>
            <w:tcW w:w="708"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大</w:t>
            </w:r>
          </w:p>
        </w:tc>
        <w:tc>
          <w:tcPr>
            <w:tcW w:w="708"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中</w:t>
            </w:r>
          </w:p>
        </w:tc>
        <w:tc>
          <w:tcPr>
            <w:tcW w:w="710"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小</w:t>
            </w:r>
          </w:p>
        </w:tc>
        <w:tc>
          <w:tcPr>
            <w:tcW w:w="725"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大</w:t>
            </w:r>
          </w:p>
        </w:tc>
        <w:tc>
          <w:tcPr>
            <w:tcW w:w="725"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中</w:t>
            </w:r>
          </w:p>
        </w:tc>
        <w:tc>
          <w:tcPr>
            <w:tcW w:w="726"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l2br w:val="nil"/>
              <w:tr2bl w:val="nil"/>
            </w:tcBorders>
            <w:vAlign w:val="center"/>
          </w:tcPr>
          <w:p>
            <w:pPr>
              <w:pStyle w:val="52"/>
              <w:outlineLvl w:val="9"/>
              <w:rPr>
                <w:rFonts w:ascii="Times New Roman" w:hAnsi="Times New Roman" w:eastAsia="宋体"/>
                <w:color w:val="FF0000"/>
                <w:szCs w:val="24"/>
                <w:highlight w:val="none"/>
              </w:rPr>
            </w:pPr>
            <w:r>
              <w:rPr>
                <w:rFonts w:ascii="Times New Roman" w:hAnsi="Times New Roman" w:eastAsia="宋体"/>
                <w:color w:val="FF0000"/>
                <w:highlight w:val="none"/>
              </w:rPr>
              <w:t>敏感</w:t>
            </w:r>
          </w:p>
        </w:tc>
        <w:tc>
          <w:tcPr>
            <w:tcW w:w="709" w:type="dxa"/>
            <w:tcBorders>
              <w:tl2br w:val="nil"/>
              <w:tr2bl w:val="nil"/>
            </w:tcBorders>
            <w:vAlign w:val="center"/>
          </w:tcPr>
          <w:p>
            <w:pPr>
              <w:pStyle w:val="52"/>
              <w:outlineLvl w:val="9"/>
              <w:rPr>
                <w:rFonts w:hint="default"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8"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10"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25"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6"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l2br w:val="nil"/>
              <w:tr2bl w:val="nil"/>
            </w:tcBorders>
            <w:vAlign w:val="center"/>
          </w:tcPr>
          <w:p>
            <w:pPr>
              <w:pStyle w:val="52"/>
              <w:outlineLvl w:val="9"/>
              <w:rPr>
                <w:rFonts w:ascii="Times New Roman" w:hAnsi="Times New Roman" w:eastAsia="宋体"/>
                <w:color w:val="FF0000"/>
                <w:szCs w:val="24"/>
                <w:highlight w:val="none"/>
              </w:rPr>
            </w:pPr>
            <w:r>
              <w:rPr>
                <w:rFonts w:ascii="Times New Roman" w:hAnsi="Times New Roman" w:eastAsia="宋体"/>
                <w:color w:val="FF0000"/>
                <w:highlight w:val="none"/>
              </w:rPr>
              <w:t>较敏感</w:t>
            </w:r>
          </w:p>
        </w:tc>
        <w:tc>
          <w:tcPr>
            <w:tcW w:w="709" w:type="dxa"/>
            <w:tcBorders>
              <w:tl2br w:val="nil"/>
              <w:tr2bl w:val="nil"/>
            </w:tcBorders>
            <w:vAlign w:val="center"/>
          </w:tcPr>
          <w:p>
            <w:pPr>
              <w:pStyle w:val="52"/>
              <w:outlineLvl w:val="9"/>
              <w:rPr>
                <w:rFonts w:hint="eastAsia"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10"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6"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l2br w:val="nil"/>
              <w:tr2bl w:val="nil"/>
            </w:tcBorders>
            <w:vAlign w:val="center"/>
          </w:tcPr>
          <w:p>
            <w:pPr>
              <w:pStyle w:val="52"/>
              <w:outlineLvl w:val="9"/>
              <w:rPr>
                <w:rFonts w:ascii="Times New Roman" w:hAnsi="Times New Roman" w:eastAsia="宋体"/>
                <w:color w:val="FF0000"/>
                <w:szCs w:val="24"/>
                <w:highlight w:val="none"/>
              </w:rPr>
            </w:pPr>
            <w:r>
              <w:rPr>
                <w:rFonts w:ascii="Times New Roman" w:hAnsi="Times New Roman" w:eastAsia="宋体"/>
                <w:color w:val="FF0000"/>
                <w:highlight w:val="none"/>
              </w:rPr>
              <w:t>不敏感</w:t>
            </w:r>
          </w:p>
        </w:tc>
        <w:tc>
          <w:tcPr>
            <w:tcW w:w="709" w:type="dxa"/>
            <w:tcBorders>
              <w:tl2br w:val="nil"/>
              <w:tr2bl w:val="nil"/>
            </w:tcBorders>
            <w:vAlign w:val="center"/>
          </w:tcPr>
          <w:p>
            <w:pPr>
              <w:pStyle w:val="52"/>
              <w:outlineLvl w:val="9"/>
              <w:rPr>
                <w:rFonts w:hint="eastAsia"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eastAsia"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10"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default"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w:t>
            </w:r>
          </w:p>
        </w:tc>
        <w:tc>
          <w:tcPr>
            <w:tcW w:w="726"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0"/>
            <w:tcBorders>
              <w:tl2br w:val="nil"/>
              <w:tr2bl w:val="nil"/>
            </w:tcBorders>
            <w:vAlign w:val="center"/>
          </w:tcPr>
          <w:p>
            <w:pPr>
              <w:pStyle w:val="52"/>
              <w:jc w:val="left"/>
              <w:outlineLvl w:val="9"/>
              <w:rPr>
                <w:rFonts w:ascii="Times New Roman" w:hAnsi="Times New Roman" w:eastAsia="宋体"/>
                <w:color w:val="FF0000"/>
                <w:sz w:val="20"/>
                <w:szCs w:val="20"/>
                <w:highlight w:val="none"/>
              </w:rPr>
            </w:pPr>
            <w:r>
              <w:rPr>
                <w:rFonts w:ascii="Times New Roman" w:hAnsi="Times New Roman" w:eastAsia="宋体"/>
                <w:color w:val="FF0000"/>
                <w:highlight w:val="none"/>
              </w:rPr>
              <w:t>注：“-”表示可不开展土壤环境影响评价工作。</w:t>
            </w: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default" w:ascii="Times New Roman" w:hAnsi="Times New Roman" w:eastAsia="宋体"/>
          <w:b w:val="0"/>
          <w:bCs/>
          <w:color w:val="FF0000"/>
          <w:highlight w:val="none"/>
          <w:lang w:val="en-US" w:eastAsia="zh-CN"/>
        </w:rPr>
      </w:pPr>
      <w:r>
        <w:rPr>
          <w:rFonts w:hint="eastAsia" w:ascii="Times New Roman" w:hAnsi="Times New Roman" w:eastAsia="宋体"/>
          <w:b/>
          <w:bCs w:val="0"/>
          <w:color w:val="FF0000"/>
          <w:highlight w:val="none"/>
          <w:lang w:val="en-US" w:eastAsia="zh-CN"/>
        </w:rPr>
        <w:t xml:space="preserve">    </w:t>
      </w:r>
      <w:r>
        <w:rPr>
          <w:rFonts w:hint="eastAsia" w:ascii="Times New Roman" w:hAnsi="Times New Roman" w:eastAsia="宋体"/>
          <w:b w:val="0"/>
          <w:bCs/>
          <w:color w:val="FF0000"/>
          <w:highlight w:val="none"/>
          <w:lang w:val="en-US" w:eastAsia="zh-CN"/>
        </w:rPr>
        <w:t>综上，本项目属于污染影响型，项目类别为III类，占地规模属于中型，敏感程度为敏感，因此土壤环境评价等级为三级。</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74" w:name="_Toc20124"/>
      <w:r>
        <w:rPr>
          <w:rFonts w:hint="eastAsia" w:ascii="Times New Roman" w:hAnsi="Times New Roman" w:eastAsia="宋体"/>
          <w:b/>
          <w:bCs w:val="0"/>
          <w:color w:val="auto"/>
          <w:highlight w:val="none"/>
        </w:rPr>
        <w:t>2.</w:t>
      </w:r>
      <w:r>
        <w:rPr>
          <w:rFonts w:hint="eastAsia" w:ascii="Times New Roman" w:hAnsi="Times New Roman" w:eastAsia="宋体"/>
          <w:b/>
          <w:bCs w:val="0"/>
          <w:color w:val="auto"/>
          <w:highlight w:val="none"/>
          <w:lang w:val="en-US" w:eastAsia="zh-CN"/>
        </w:rPr>
        <w:t>7</w:t>
      </w:r>
      <w:r>
        <w:rPr>
          <w:rFonts w:hint="eastAsia" w:ascii="Times New Roman" w:hAnsi="Times New Roman" w:eastAsia="宋体"/>
          <w:b/>
          <w:bCs w:val="0"/>
          <w:color w:val="auto"/>
          <w:highlight w:val="none"/>
        </w:rPr>
        <w:t xml:space="preserve"> 评价范围及环境保护目标</w:t>
      </w:r>
      <w:bookmarkEnd w:id="71"/>
      <w:bookmarkEnd w:id="72"/>
      <w:bookmarkEnd w:id="7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75" w:name="_Toc2026557"/>
      <w:bookmarkStart w:id="76" w:name="_Toc8051038"/>
      <w:bookmarkStart w:id="77" w:name="_Toc18826"/>
      <w:r>
        <w:rPr>
          <w:rFonts w:hint="eastAsia" w:ascii="Times New Roman" w:hAnsi="Times New Roman" w:eastAsia="宋体"/>
          <w:b/>
          <w:bCs w:val="0"/>
          <w:color w:val="auto"/>
          <w:highlight w:val="none"/>
        </w:rPr>
        <w:t>2.</w:t>
      </w:r>
      <w:r>
        <w:rPr>
          <w:rFonts w:hint="eastAsia" w:ascii="Times New Roman" w:hAnsi="Times New Roman" w:eastAsia="宋体"/>
          <w:b/>
          <w:bCs w:val="0"/>
          <w:color w:val="auto"/>
          <w:highlight w:val="none"/>
          <w:lang w:val="en-US" w:eastAsia="zh-CN"/>
        </w:rPr>
        <w:t>7</w:t>
      </w:r>
      <w:r>
        <w:rPr>
          <w:rFonts w:hint="eastAsia" w:ascii="Times New Roman" w:hAnsi="Times New Roman" w:eastAsia="宋体"/>
          <w:b/>
          <w:bCs w:val="0"/>
          <w:color w:val="auto"/>
          <w:highlight w:val="none"/>
        </w:rPr>
        <w:t>.1 评价范围</w:t>
      </w:r>
      <w:bookmarkEnd w:id="75"/>
      <w:bookmarkEnd w:id="76"/>
      <w:bookmarkEnd w:id="77"/>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环境空气</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根据《环境影响评价技术导则—大气环境》（HJ2.2-2018）中大气环境评价工作等级划分依据，该项目大气环境评价工作等级确定为</w:t>
      </w:r>
      <w:r>
        <w:rPr>
          <w:rFonts w:hint="eastAsia" w:ascii="Times New Roman" w:hAnsi="Times New Roman" w:eastAsia="宋体" w:cstheme="minorBidi"/>
          <w:color w:val="auto"/>
          <w:highlight w:val="none"/>
          <w:lang w:val="en-US" w:eastAsia="zh-CN"/>
        </w:rPr>
        <w:t>二</w:t>
      </w:r>
      <w:r>
        <w:rPr>
          <w:rFonts w:hint="eastAsia" w:ascii="Times New Roman" w:hAnsi="Times New Roman" w:eastAsia="宋体" w:cstheme="minorBidi"/>
          <w:color w:val="auto"/>
          <w:highlight w:val="none"/>
        </w:rPr>
        <w:t>级，大气环境影响评价范围</w:t>
      </w:r>
      <w:r>
        <w:rPr>
          <w:rFonts w:hint="eastAsia" w:ascii="Times New Roman" w:hAnsi="Times New Roman" w:eastAsia="宋体" w:cstheme="minorBidi"/>
          <w:color w:val="auto"/>
          <w:highlight w:val="none"/>
          <w:lang w:val="en-US" w:eastAsia="zh-CN"/>
        </w:rPr>
        <w:t>为以矿区为中心，边长5km的矩形区域</w:t>
      </w:r>
      <w:r>
        <w:rPr>
          <w:rFonts w:hint="eastAsia" w:ascii="Times New Roman" w:hAnsi="Times New Roman" w:eastAsia="宋体" w:cstheme="minorBidi"/>
          <w:color w:val="auto"/>
          <w:highlight w:val="none"/>
        </w:rPr>
        <w:t>。</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噪声</w:t>
      </w:r>
      <w:r>
        <w:rPr>
          <w:rFonts w:hint="eastAsia" w:ascii="Times New Roman" w:hAnsi="Times New Roman" w:eastAsia="宋体" w:cstheme="minorBidi"/>
          <w:color w:val="auto"/>
          <w:highlight w:val="none"/>
        </w:rPr>
        <w:tab/>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该项目所在功能区属于《声环境质量标准》（GB3096-2008）规定的</w:t>
      </w:r>
      <w:r>
        <w:rPr>
          <w:rFonts w:hint="eastAsia" w:ascii="Times New Roman" w:hAnsi="Times New Roman" w:eastAsia="宋体" w:cstheme="minorBidi"/>
          <w:color w:val="auto"/>
          <w:highlight w:val="none"/>
          <w:lang w:val="en-US" w:eastAsia="zh-CN"/>
        </w:rPr>
        <w:t>1、2</w:t>
      </w:r>
      <w:r>
        <w:rPr>
          <w:rFonts w:hint="eastAsia" w:ascii="Times New Roman" w:hAnsi="Times New Roman" w:eastAsia="宋体" w:cstheme="minorBidi"/>
          <w:color w:val="auto"/>
          <w:highlight w:val="none"/>
        </w:rPr>
        <w:t>类声功能区，根据《环境影响评价技术导则-声环境》（HJ2.4-2009）噪声评价工作等级划分依据，该项目噪声环境评价工作等级确定为</w:t>
      </w:r>
      <w:r>
        <w:rPr>
          <w:rFonts w:hint="eastAsia" w:ascii="Times New Roman" w:hAnsi="Times New Roman" w:eastAsia="宋体" w:cstheme="minorBidi"/>
          <w:color w:val="auto"/>
          <w:highlight w:val="none"/>
          <w:lang w:val="en-US" w:eastAsia="zh-CN"/>
        </w:rPr>
        <w:t>二</w:t>
      </w:r>
      <w:r>
        <w:rPr>
          <w:rFonts w:hint="eastAsia" w:ascii="Times New Roman" w:hAnsi="Times New Roman" w:eastAsia="宋体" w:cstheme="minorBidi"/>
          <w:color w:val="auto"/>
          <w:highlight w:val="none"/>
        </w:rPr>
        <w:t>级。且根据《环境影响评价技术导则-声环境》（HJ2.4-2009）中“6.1.2 b），二级、三级评价范围可根据建设项目所在区域和相邻区域的声环境功能区类别即敏感目标等实际情况适当缩小”本项目重点预测厂界噪声达标情况，厂界噪声评价范围为</w:t>
      </w:r>
      <w:r>
        <w:rPr>
          <w:rFonts w:hint="eastAsia" w:ascii="Times New Roman" w:hAnsi="Times New Roman" w:eastAsia="宋体" w:cstheme="minorBidi"/>
          <w:color w:val="auto"/>
          <w:highlight w:val="none"/>
          <w:lang w:val="en-US" w:eastAsia="zh-CN"/>
        </w:rPr>
        <w:t>采矿工业场地边界</w:t>
      </w:r>
      <w:r>
        <w:rPr>
          <w:rFonts w:hint="eastAsia" w:ascii="Times New Roman" w:hAnsi="Times New Roman" w:eastAsia="宋体" w:cstheme="minorBidi"/>
          <w:color w:val="auto"/>
          <w:highlight w:val="none"/>
        </w:rPr>
        <w:t>外延200m范围及运输道路两侧200m范围内区域。</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本项目评价范围表见表2.</w:t>
      </w:r>
      <w:r>
        <w:rPr>
          <w:rFonts w:hint="eastAsia" w:ascii="Times New Roman" w:hAnsi="Times New Roman" w:eastAsia="宋体" w:cstheme="minorBidi"/>
          <w:color w:val="auto"/>
          <w:highlight w:val="none"/>
          <w:lang w:val="en-US" w:eastAsia="zh-CN"/>
        </w:rPr>
        <w:t>7</w:t>
      </w:r>
      <w:r>
        <w:rPr>
          <w:rFonts w:hint="eastAsia" w:ascii="Times New Roman" w:hAnsi="Times New Roman" w:eastAsia="宋体" w:cstheme="minorBidi"/>
          <w:color w:val="auto"/>
          <w:highlight w:val="none"/>
        </w:rPr>
        <w:t>-1。</w:t>
      </w:r>
    </w:p>
    <w:p>
      <w:pPr>
        <w:pStyle w:val="51"/>
        <w:rPr>
          <w:rFonts w:ascii="Times New Roman" w:hAnsi="Times New Roman" w:eastAsia="宋体"/>
          <w:color w:val="auto"/>
          <w:highlight w:val="none"/>
        </w:rPr>
      </w:pPr>
      <w:r>
        <w:rPr>
          <w:rFonts w:hint="eastAsia" w:ascii="Times New Roman" w:hAnsi="Times New Roman" w:eastAsia="宋体"/>
          <w:b/>
          <w:bCs/>
          <w:color w:val="auto"/>
          <w:highlight w:val="none"/>
        </w:rPr>
        <w:t>表2.</w:t>
      </w:r>
      <w:r>
        <w:rPr>
          <w:rFonts w:hint="eastAsia" w:ascii="Times New Roman" w:hAnsi="Times New Roman" w:eastAsia="宋体"/>
          <w:b/>
          <w:bCs/>
          <w:color w:val="auto"/>
          <w:highlight w:val="none"/>
          <w:lang w:val="en-US" w:eastAsia="zh-CN"/>
        </w:rPr>
        <w:t>7</w:t>
      </w:r>
      <w:r>
        <w:rPr>
          <w:rFonts w:hint="eastAsia" w:ascii="Times New Roman" w:hAnsi="Times New Roman" w:eastAsia="宋体"/>
          <w:b/>
          <w:bCs/>
          <w:color w:val="auto"/>
          <w:highlight w:val="none"/>
        </w:rPr>
        <w:t>-1   工程评价范围一览表</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668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评价因子</w:t>
            </w:r>
          </w:p>
        </w:tc>
        <w:tc>
          <w:tcPr>
            <w:tcW w:w="6682"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评价范围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噪声</w:t>
            </w:r>
          </w:p>
        </w:tc>
        <w:tc>
          <w:tcPr>
            <w:tcW w:w="6682"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lang w:val="en-US" w:eastAsia="zh-CN"/>
              </w:rPr>
              <w:t>采矿工业场地边界</w:t>
            </w:r>
            <w:r>
              <w:rPr>
                <w:rFonts w:hint="eastAsia" w:ascii="Times New Roman" w:hAnsi="Times New Roman" w:eastAsia="宋体" w:cstheme="minorBidi"/>
                <w:color w:val="auto"/>
                <w:sz w:val="21"/>
                <w:highlight w:val="none"/>
              </w:rPr>
              <w:t>外延200m范围及运输道路两侧200m范围内区域</w:t>
            </w:r>
          </w:p>
        </w:tc>
      </w:tr>
    </w:tbl>
    <w:p>
      <w:pPr>
        <w:spacing w:line="360" w:lineRule="auto"/>
        <w:ind w:firstLine="480"/>
        <w:rPr>
          <w:rFonts w:hint="default" w:ascii="Times New Roman" w:hAnsi="Times New Roman" w:eastAsia="宋体" w:cstheme="minorBidi"/>
          <w:color w:val="FF0000"/>
          <w:highlight w:val="none"/>
          <w:lang w:val="en-US" w:eastAsia="zh-CN"/>
        </w:rPr>
      </w:pPr>
      <w:r>
        <w:rPr>
          <w:rFonts w:hint="eastAsia" w:eastAsia="宋体" w:cstheme="minorBidi"/>
          <w:color w:val="FF0000"/>
          <w:highlight w:val="none"/>
          <w:lang w:val="en-US" w:eastAsia="zh-CN"/>
        </w:rPr>
        <w:t>（3）土壤</w:t>
      </w:r>
    </w:p>
    <w:p>
      <w:pPr>
        <w:spacing w:line="360" w:lineRule="auto"/>
        <w:ind w:firstLine="480"/>
        <w:rPr>
          <w:rFonts w:hint="eastAsia" w:ascii="Times New Roman" w:hAnsi="Times New Roman" w:eastAsia="宋体" w:cstheme="minorBidi"/>
          <w:color w:val="FF0000"/>
          <w:highlight w:val="none"/>
          <w:lang w:val="en-US" w:eastAsia="zh-CN"/>
        </w:rPr>
      </w:pPr>
      <w:r>
        <w:rPr>
          <w:rFonts w:hint="eastAsia" w:ascii="Times New Roman" w:hAnsi="Times New Roman" w:eastAsia="宋体" w:cstheme="minorBidi"/>
          <w:color w:val="FF0000"/>
          <w:highlight w:val="none"/>
          <w:lang w:val="en-US" w:eastAsia="zh-CN"/>
        </w:rPr>
        <w:t>根据《环境影响评价技术导则 土壤环境（试行）》（HJ964-2018）调查评价范围表5，确定本项目土壤环境调查评价范围为本项目工程占地范围边界外扩 50m。</w:t>
      </w:r>
    </w:p>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w:t>
      </w:r>
      <w:r>
        <w:rPr>
          <w:rFonts w:hint="eastAsia" w:eastAsia="宋体" w:cstheme="minorBidi"/>
          <w:color w:val="auto"/>
          <w:highlight w:val="none"/>
          <w:lang w:val="en-US" w:eastAsia="zh-CN"/>
        </w:rPr>
        <w:t>4</w:t>
      </w:r>
      <w:r>
        <w:rPr>
          <w:rFonts w:hint="eastAsia" w:ascii="Times New Roman" w:hAnsi="Times New Roman" w:eastAsia="宋体" w:cstheme="minorBidi"/>
          <w:color w:val="auto"/>
          <w:highlight w:val="none"/>
          <w:lang w:val="en-US" w:eastAsia="zh-CN"/>
        </w:rPr>
        <w:t>）生态环境</w:t>
      </w:r>
    </w:p>
    <w:p>
      <w:pPr>
        <w:spacing w:line="360" w:lineRule="auto"/>
        <w:ind w:firstLine="480"/>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以矿区厂界向外延伸1km的区域。</w:t>
      </w:r>
    </w:p>
    <w:p>
      <w:pPr>
        <w:spacing w:line="360" w:lineRule="auto"/>
        <w:ind w:firstLine="48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val="en-US" w:eastAsia="zh-CN"/>
        </w:rPr>
        <w:t>评价等级及评价范围汇总见表2.7-2，本项目评价范围见</w:t>
      </w:r>
      <w:r>
        <w:rPr>
          <w:rFonts w:hint="eastAsia" w:eastAsia="宋体" w:cstheme="minorBidi"/>
          <w:color w:val="auto"/>
          <w:highlight w:val="none"/>
          <w:lang w:val="en-US" w:eastAsia="zh-CN"/>
        </w:rPr>
        <w:t>附</w:t>
      </w:r>
      <w:r>
        <w:rPr>
          <w:rFonts w:hint="eastAsia" w:ascii="Times New Roman" w:hAnsi="Times New Roman" w:eastAsia="宋体" w:cstheme="minorBidi"/>
          <w:color w:val="auto"/>
          <w:highlight w:val="none"/>
          <w:lang w:val="en-US" w:eastAsia="zh-CN"/>
        </w:rPr>
        <w:t>图</w:t>
      </w:r>
      <w:r>
        <w:rPr>
          <w:rFonts w:hint="eastAsia" w:eastAsia="宋体" w:cstheme="minorBidi"/>
          <w:color w:val="auto"/>
          <w:highlight w:val="none"/>
          <w:lang w:val="en-US" w:eastAsia="zh-CN"/>
        </w:rPr>
        <w:t>5</w:t>
      </w:r>
      <w:r>
        <w:rPr>
          <w:rFonts w:hint="eastAsia" w:ascii="Times New Roman" w:hAnsi="Times New Roman" w:eastAsia="宋体" w:cstheme="minorBidi"/>
          <w:color w:val="auto"/>
          <w:highlight w:val="none"/>
          <w:lang w:val="en-US" w:eastAsia="zh-CN"/>
        </w:rPr>
        <w:t>所示</w:t>
      </w:r>
      <w:r>
        <w:rPr>
          <w:rFonts w:hint="eastAsia" w:ascii="Times New Roman" w:hAnsi="Times New Roman" w:eastAsia="宋体" w:cstheme="minorBidi"/>
          <w:color w:val="auto"/>
          <w:highlight w:val="none"/>
          <w:lang w:eastAsia="zh-CN"/>
        </w:rPr>
        <w:t>。</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表2.7-2 环境影响评价工作等级及评价范围</w:t>
      </w:r>
    </w:p>
    <w:tbl>
      <w:tblPr>
        <w:tblStyle w:val="35"/>
        <w:tblW w:w="8362"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548"/>
        <w:gridCol w:w="609"/>
        <w:gridCol w:w="3678"/>
        <w:gridCol w:w="352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49"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环境</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要素</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评价</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等级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评价依据</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评价范围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258"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生态 环境</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三</w:t>
            </w:r>
            <w:r>
              <w:rPr>
                <w:rFonts w:hint="eastAsia" w:ascii="Times New Roman" w:hAnsi="Times New Roman" w:eastAsia="宋体" w:cstheme="minorBidi"/>
                <w:color w:val="FF0000"/>
                <w:sz w:val="21"/>
                <w:szCs w:val="21"/>
                <w:highlight w:val="none"/>
                <w:lang w:val="en-US" w:eastAsia="zh-CN"/>
              </w:rPr>
              <w:t>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本项目影响区域生态敏感性为一般生态敏感区，</w:t>
            </w:r>
            <w:r>
              <w:rPr>
                <w:rFonts w:hint="eastAsia" w:eastAsia="宋体" w:cstheme="minorBidi"/>
                <w:color w:val="FF0000"/>
                <w:sz w:val="21"/>
                <w:szCs w:val="21"/>
                <w:highlight w:val="none"/>
                <w:lang w:val="en-US" w:eastAsia="zh-CN"/>
              </w:rPr>
              <w:t>占地面积0.103km</w:t>
            </w:r>
            <w:r>
              <w:rPr>
                <w:rFonts w:hint="eastAsia" w:eastAsia="宋体" w:cstheme="minorBidi"/>
                <w:color w:val="FF0000"/>
                <w:sz w:val="21"/>
                <w:szCs w:val="21"/>
                <w:highlight w:val="none"/>
                <w:vertAlign w:val="superscript"/>
                <w:lang w:val="en-US" w:eastAsia="zh-CN"/>
              </w:rPr>
              <w:t>2</w:t>
            </w:r>
            <w:r>
              <w:rPr>
                <w:rFonts w:hint="eastAsia" w:eastAsia="宋体" w:cstheme="minorBidi"/>
                <w:color w:val="FF0000"/>
                <w:sz w:val="21"/>
                <w:szCs w:val="21"/>
                <w:highlight w:val="none"/>
                <w:lang w:val="en-US" w:eastAsia="zh-CN"/>
              </w:rPr>
              <w:t>，本项目为露天开采项目，本项目砂料场开采在山包上，开采完毕待恢复治理后不会导致矿区范围内土地利用明显改变，因此本项目评价工作等级最终确定本项目生态环境影响评价工作等级为三级</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以矿区厂界向外延伸 1km 的区域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327"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环境 空气</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二</w:t>
            </w:r>
            <w:r>
              <w:rPr>
                <w:rFonts w:hint="eastAsia" w:ascii="Times New Roman" w:hAnsi="Times New Roman" w:eastAsia="宋体" w:cstheme="minorBidi"/>
                <w:color w:val="auto"/>
                <w:sz w:val="21"/>
                <w:szCs w:val="21"/>
                <w:highlight w:val="none"/>
                <w:lang w:val="en-US" w:eastAsia="zh-CN"/>
              </w:rPr>
              <w:t>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项目区地形简单，污染物排放量较小，经估算模式计算最大占标率均小于&lt;10%。</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以矿区为中心，</w:t>
            </w:r>
            <w:r>
              <w:rPr>
                <w:rFonts w:hint="eastAsia" w:eastAsia="宋体" w:cstheme="minorBidi"/>
                <w:color w:val="auto"/>
                <w:sz w:val="21"/>
                <w:szCs w:val="21"/>
                <w:highlight w:val="none"/>
                <w:lang w:val="en-US" w:eastAsia="zh-CN"/>
              </w:rPr>
              <w:t>常年主导风向为轴向，</w:t>
            </w:r>
            <w:r>
              <w:rPr>
                <w:rFonts w:hint="default" w:ascii="Times New Roman" w:hAnsi="Times New Roman" w:eastAsia="宋体" w:cstheme="minorBidi"/>
                <w:color w:val="auto"/>
                <w:sz w:val="21"/>
                <w:szCs w:val="21"/>
                <w:highlight w:val="none"/>
                <w:lang w:val="en-US" w:eastAsia="zh-CN"/>
              </w:rPr>
              <w:t>边长5km的矩形区域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30"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声环 境</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二</w:t>
            </w:r>
            <w:r>
              <w:rPr>
                <w:rFonts w:hint="eastAsia" w:ascii="Times New Roman" w:hAnsi="Times New Roman" w:eastAsia="宋体" w:cstheme="minorBidi"/>
                <w:color w:val="auto"/>
                <w:sz w:val="21"/>
                <w:szCs w:val="21"/>
                <w:highlight w:val="none"/>
                <w:lang w:val="en-US" w:eastAsia="zh-CN"/>
              </w:rPr>
              <w:t>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项目所在声环境功能区为2类地区。</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采矿工业场地外延200m范围及运输道路</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两侧200m范围内区域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383"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土壤</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三级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ascii="Times New Roman" w:hAnsi="Times New Roman" w:eastAsia="宋体"/>
                <w:b w:val="0"/>
                <w:bCs/>
                <w:color w:val="FF0000"/>
                <w:sz w:val="21"/>
                <w:szCs w:val="21"/>
                <w:highlight w:val="none"/>
                <w:lang w:val="en-US" w:eastAsia="zh-CN"/>
              </w:rPr>
              <w:t>本项目属于污染影响型，项目类别为III类，占地规模属于小型，敏感程度为敏感，因此土壤环境评价等级为三级</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工程占地范围边界外扩50m</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04"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环境</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风险</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简单</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分析</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对</w:t>
            </w:r>
            <w:r>
              <w:rPr>
                <w:rFonts w:hint="eastAsia" w:eastAsia="宋体" w:cstheme="minorBidi"/>
                <w:color w:val="auto"/>
                <w:sz w:val="21"/>
                <w:szCs w:val="21"/>
                <w:highlight w:val="none"/>
                <w:lang w:val="en-US" w:eastAsia="zh-CN"/>
              </w:rPr>
              <w:t>采砂场滑坡</w:t>
            </w:r>
            <w:r>
              <w:rPr>
                <w:rFonts w:hint="default" w:ascii="Times New Roman" w:hAnsi="Times New Roman" w:eastAsia="宋体" w:cstheme="minorBidi"/>
                <w:color w:val="auto"/>
                <w:sz w:val="21"/>
                <w:szCs w:val="21"/>
                <w:highlight w:val="none"/>
                <w:lang w:val="en-US" w:eastAsia="zh-CN"/>
              </w:rPr>
              <w:t>、</w:t>
            </w:r>
            <w:r>
              <w:rPr>
                <w:rFonts w:hint="eastAsia" w:eastAsia="宋体" w:cstheme="minorBidi"/>
                <w:color w:val="auto"/>
                <w:sz w:val="21"/>
                <w:szCs w:val="21"/>
                <w:highlight w:val="none"/>
                <w:lang w:val="en-US" w:eastAsia="zh-CN"/>
              </w:rPr>
              <w:t>成品堆场滑坡等</w:t>
            </w:r>
            <w:r>
              <w:rPr>
                <w:rFonts w:hint="default" w:ascii="Times New Roman" w:hAnsi="Times New Roman" w:eastAsia="宋体" w:cstheme="minorBidi"/>
                <w:color w:val="auto"/>
                <w:sz w:val="21"/>
                <w:szCs w:val="21"/>
                <w:highlight w:val="none"/>
                <w:lang w:val="en-US" w:eastAsia="zh-CN"/>
              </w:rPr>
              <w:t>开展简单分析</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w:t>
            </w:r>
          </w:p>
        </w:tc>
      </w:tr>
    </w:tbl>
    <w:p>
      <w:pPr>
        <w:pStyle w:val="5"/>
        <w:keepNext/>
        <w:keepLines/>
        <w:pageBreakBefore w:val="0"/>
        <w:widowControl w:val="0"/>
        <w:kinsoku/>
        <w:wordWrap/>
        <w:overflowPunct/>
        <w:topLinePunct w:val="0"/>
        <w:autoSpaceDE/>
        <w:autoSpaceDN/>
        <w:bidi w:val="0"/>
        <w:adjustRightInd/>
        <w:snapToGrid/>
        <w:spacing w:before="10" w:after="157" w:afterLines="50"/>
        <w:ind w:left="0" w:leftChars="0" w:firstLine="0" w:firstLineChars="0"/>
        <w:textAlignment w:val="auto"/>
        <w:rPr>
          <w:rFonts w:ascii="Times New Roman" w:hAnsi="Times New Roman" w:eastAsia="宋体"/>
          <w:b/>
          <w:bCs w:val="0"/>
          <w:color w:val="auto"/>
          <w:sz w:val="30"/>
          <w:szCs w:val="30"/>
          <w:highlight w:val="none"/>
        </w:rPr>
      </w:pPr>
      <w:bookmarkStart w:id="78" w:name="_Toc16685"/>
      <w:bookmarkStart w:id="79" w:name="_Toc2026558"/>
      <w:bookmarkStart w:id="80" w:name="_Toc8051039"/>
      <w:r>
        <w:rPr>
          <w:rFonts w:hint="eastAsia" w:ascii="Times New Roman" w:hAnsi="Times New Roman" w:eastAsia="宋体"/>
          <w:b/>
          <w:bCs w:val="0"/>
          <w:color w:val="auto"/>
          <w:sz w:val="30"/>
          <w:szCs w:val="30"/>
          <w:highlight w:val="none"/>
        </w:rPr>
        <w:t>2.</w:t>
      </w:r>
      <w:r>
        <w:rPr>
          <w:rFonts w:hint="eastAsia" w:ascii="Times New Roman" w:hAnsi="Times New Roman" w:eastAsia="宋体"/>
          <w:b/>
          <w:bCs w:val="0"/>
          <w:color w:val="auto"/>
          <w:sz w:val="30"/>
          <w:szCs w:val="30"/>
          <w:highlight w:val="none"/>
          <w:lang w:val="en-US" w:eastAsia="zh-CN"/>
        </w:rPr>
        <w:t>7</w:t>
      </w:r>
      <w:r>
        <w:rPr>
          <w:rFonts w:hint="eastAsia" w:ascii="Times New Roman" w:hAnsi="Times New Roman" w:eastAsia="宋体"/>
          <w:b/>
          <w:bCs w:val="0"/>
          <w:color w:val="auto"/>
          <w:sz w:val="30"/>
          <w:szCs w:val="30"/>
          <w:highlight w:val="none"/>
        </w:rPr>
        <w:t>.2 环境保护目标</w:t>
      </w:r>
      <w:bookmarkEnd w:id="78"/>
      <w:bookmarkEnd w:id="79"/>
      <w:bookmarkEnd w:id="80"/>
    </w:p>
    <w:p>
      <w:pPr>
        <w:ind w:firstLine="480"/>
        <w:rPr>
          <w:rFonts w:hint="eastAsia" w:ascii="Times New Roman" w:hAnsi="Times New Roman" w:eastAsia="宋体"/>
          <w:color w:val="auto"/>
          <w:highlight w:val="yellow"/>
          <w:lang w:val="en-US" w:eastAsia="zh-CN"/>
        </w:rPr>
      </w:pPr>
      <w:r>
        <w:rPr>
          <w:rFonts w:hint="eastAsia" w:ascii="Times New Roman" w:hAnsi="Times New Roman" w:eastAsia="宋体"/>
          <w:color w:val="auto"/>
          <w:highlight w:val="none"/>
        </w:rPr>
        <w:t>本项目位于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rPr>
        <w:t>，评价区域内无国家重点保护珍稀动植物及风景名胜区、水源保护区等需要特别保护的目标，项目所在区域内</w:t>
      </w:r>
      <w:r>
        <w:rPr>
          <w:rFonts w:hint="eastAsia" w:ascii="Times New Roman" w:hAnsi="Times New Roman" w:eastAsia="宋体"/>
          <w:color w:val="auto"/>
          <w:highlight w:val="none"/>
          <w:lang w:eastAsia="zh-CN"/>
        </w:rPr>
        <w:t>最近</w:t>
      </w:r>
      <w:r>
        <w:rPr>
          <w:rFonts w:hint="eastAsia" w:ascii="Times New Roman" w:hAnsi="Times New Roman" w:eastAsia="宋体"/>
          <w:color w:val="auto"/>
          <w:highlight w:val="none"/>
        </w:rPr>
        <w:t>的</w:t>
      </w:r>
      <w:r>
        <w:rPr>
          <w:rFonts w:hint="eastAsia" w:eastAsia="宋体"/>
          <w:color w:val="auto"/>
          <w:highlight w:val="none"/>
          <w:lang w:val="en-US" w:eastAsia="zh-CN"/>
        </w:rPr>
        <w:t>居民</w:t>
      </w:r>
      <w:r>
        <w:rPr>
          <w:rFonts w:hint="eastAsia" w:ascii="Times New Roman" w:hAnsi="Times New Roman" w:eastAsia="宋体"/>
          <w:color w:val="auto"/>
          <w:highlight w:val="none"/>
        </w:rPr>
        <w:t>敏感点为</w:t>
      </w:r>
      <w:r>
        <w:rPr>
          <w:rFonts w:hint="eastAsia" w:eastAsia="宋体"/>
          <w:color w:val="auto"/>
          <w:highlight w:val="none"/>
          <w:lang w:val="en-US" w:eastAsia="zh-CN"/>
        </w:rPr>
        <w:t>东</w:t>
      </w:r>
      <w:r>
        <w:rPr>
          <w:rFonts w:hint="eastAsia" w:ascii="Times New Roman" w:hAnsi="Times New Roman" w:eastAsia="宋体"/>
          <w:color w:val="auto"/>
          <w:highlight w:val="none"/>
          <w:lang w:eastAsia="zh-CN"/>
        </w:rPr>
        <w:t>南</w:t>
      </w:r>
      <w:r>
        <w:rPr>
          <w:rFonts w:hint="eastAsia" w:eastAsia="宋体"/>
          <w:color w:val="auto"/>
          <w:highlight w:val="none"/>
          <w:lang w:val="en-US" w:eastAsia="zh-CN"/>
        </w:rPr>
        <w:t>1200</w:t>
      </w:r>
      <w:r>
        <w:rPr>
          <w:rFonts w:hint="eastAsia" w:ascii="Times New Roman" w:hAnsi="Times New Roman" w:eastAsia="宋体"/>
          <w:color w:val="auto"/>
          <w:highlight w:val="none"/>
          <w:lang w:val="en-US" w:eastAsia="zh-CN"/>
        </w:rPr>
        <w:t>m处的</w:t>
      </w:r>
      <w:r>
        <w:rPr>
          <w:rFonts w:hint="eastAsia" w:eastAsia="宋体"/>
          <w:color w:val="auto"/>
          <w:highlight w:val="none"/>
          <w:lang w:val="en-US" w:eastAsia="zh-CN"/>
        </w:rPr>
        <w:t>居民</w:t>
      </w:r>
      <w:r>
        <w:rPr>
          <w:rFonts w:hint="eastAsia" w:ascii="Times New Roman" w:hAnsi="Times New Roman" w:eastAsia="宋体"/>
          <w:color w:val="FF0000"/>
          <w:highlight w:val="none"/>
        </w:rPr>
        <w:t>，</w:t>
      </w:r>
      <w:r>
        <w:rPr>
          <w:rFonts w:hint="eastAsia" w:eastAsia="宋体"/>
          <w:color w:val="FF0000"/>
          <w:highlight w:val="none"/>
          <w:lang w:val="en-US" w:eastAsia="zh-CN"/>
        </w:rPr>
        <w:t>河道位于矿区南侧20m，为古河道，已多年无水，亦无季节性流水。</w:t>
      </w:r>
      <w:r>
        <w:rPr>
          <w:rFonts w:hint="eastAsia" w:ascii="Times New Roman" w:hAnsi="Times New Roman" w:eastAsia="宋体"/>
          <w:color w:val="auto"/>
          <w:highlight w:val="none"/>
        </w:rPr>
        <w:t>本评价确定主要环境保护目标及保护级别见表</w:t>
      </w:r>
      <w:r>
        <w:rPr>
          <w:rFonts w:hint="eastAsia" w:ascii="Times New Roman" w:hAnsi="Times New Roman" w:eastAsia="宋体"/>
          <w:color w:val="auto"/>
          <w:highlight w:val="none"/>
          <w:lang w:val="en-US" w:eastAsia="zh-CN"/>
        </w:rPr>
        <w:t>2.7-3</w:t>
      </w:r>
      <w:r>
        <w:rPr>
          <w:rFonts w:hint="eastAsia" w:eastAsia="宋体"/>
          <w:color w:val="auto"/>
          <w:highlight w:val="none"/>
          <w:lang w:val="en-US" w:eastAsia="zh-CN"/>
        </w:rPr>
        <w:t>和附图4所示</w:t>
      </w:r>
      <w:r>
        <w:rPr>
          <w:rFonts w:hint="eastAsia" w:ascii="Times New Roman" w:hAnsi="Times New Roman" w:eastAsia="宋体"/>
          <w:color w:val="auto"/>
          <w:highlight w:val="none"/>
          <w:lang w:val="en-US" w:eastAsia="zh-CN"/>
        </w:rPr>
        <w:t>。</w:t>
      </w:r>
    </w:p>
    <w:p>
      <w:pPr>
        <w:ind w:left="0" w:leftChars="0" w:firstLine="0" w:firstLineChars="0"/>
        <w:jc w:val="center"/>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表2.7-3 环境敏感目标一览表</w:t>
      </w:r>
    </w:p>
    <w:tbl>
      <w:tblPr>
        <w:tblStyle w:val="35"/>
        <w:tblW w:w="874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527"/>
        <w:gridCol w:w="95"/>
        <w:gridCol w:w="1364"/>
        <w:gridCol w:w="258"/>
        <w:gridCol w:w="1622"/>
        <w:gridCol w:w="26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bottom w:val="single" w:color="auto" w:sz="4" w:space="0"/>
            </w:tcBorders>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环境要素</w:t>
            </w:r>
          </w:p>
        </w:tc>
        <w:tc>
          <w:tcPr>
            <w:tcW w:w="1527" w:type="dxa"/>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环境保护目标</w:t>
            </w:r>
          </w:p>
        </w:tc>
        <w:tc>
          <w:tcPr>
            <w:tcW w:w="1459" w:type="dxa"/>
            <w:gridSpan w:val="2"/>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相对位置</w:t>
            </w:r>
          </w:p>
        </w:tc>
        <w:tc>
          <w:tcPr>
            <w:tcW w:w="1880" w:type="dxa"/>
            <w:gridSpan w:val="2"/>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户数</w:t>
            </w:r>
            <w:r>
              <w:rPr>
                <w:rFonts w:hint="eastAsia" w:ascii="Times New Roman" w:hAnsi="Times New Roman" w:eastAsia="宋体"/>
                <w:sz w:val="21"/>
                <w:szCs w:val="21"/>
                <w:highlight w:val="none"/>
                <w:lang w:val="en-US" w:eastAsia="zh-CN"/>
              </w:rPr>
              <w:t>/</w:t>
            </w:r>
            <w:r>
              <w:rPr>
                <w:rFonts w:hint="eastAsia" w:ascii="Times New Roman" w:hAnsi="Times New Roman" w:eastAsia="宋体"/>
                <w:sz w:val="21"/>
                <w:szCs w:val="21"/>
                <w:highlight w:val="none"/>
                <w:lang w:eastAsia="zh-CN"/>
              </w:rPr>
              <w:t>人数</w:t>
            </w:r>
          </w:p>
        </w:tc>
        <w:tc>
          <w:tcPr>
            <w:tcW w:w="2693" w:type="dxa"/>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保护级别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大气环境</w:t>
            </w:r>
          </w:p>
        </w:tc>
        <w:tc>
          <w:tcPr>
            <w:tcW w:w="1527" w:type="dxa"/>
            <w:noWrap w:val="0"/>
            <w:vAlign w:val="center"/>
          </w:tcPr>
          <w:p>
            <w:pPr>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居民1~3</w:t>
            </w:r>
          </w:p>
        </w:tc>
        <w:tc>
          <w:tcPr>
            <w:tcW w:w="1459" w:type="dxa"/>
            <w:gridSpan w:val="2"/>
            <w:noWrap w:val="0"/>
            <w:vAlign w:val="center"/>
          </w:tcPr>
          <w:p>
            <w:pPr>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eastAsia="zh-CN"/>
              </w:rPr>
              <w:t>东南</w:t>
            </w:r>
            <w:r>
              <w:rPr>
                <w:rFonts w:hint="eastAsia" w:ascii="Times New Roman" w:hAnsi="Times New Roman" w:eastAsia="宋体"/>
                <w:color w:val="FF0000"/>
                <w:sz w:val="21"/>
                <w:szCs w:val="21"/>
                <w:highlight w:val="none"/>
                <w:lang w:val="en-US" w:eastAsia="zh-CN"/>
              </w:rPr>
              <w:t>1</w:t>
            </w:r>
            <w:r>
              <w:rPr>
                <w:rFonts w:hint="eastAsia" w:eastAsia="宋体"/>
                <w:color w:val="FF0000"/>
                <w:sz w:val="21"/>
                <w:szCs w:val="21"/>
                <w:highlight w:val="none"/>
                <w:lang w:val="en-US" w:eastAsia="zh-CN"/>
              </w:rPr>
              <w:t>k</w:t>
            </w:r>
            <w:r>
              <w:rPr>
                <w:rFonts w:hint="eastAsia" w:ascii="Times New Roman" w:hAnsi="Times New Roman" w:eastAsia="宋体"/>
                <w:color w:val="FF0000"/>
                <w:sz w:val="21"/>
                <w:szCs w:val="21"/>
                <w:highlight w:val="none"/>
                <w:lang w:eastAsia="zh-CN"/>
              </w:rPr>
              <w:t>m</w:t>
            </w:r>
            <w:r>
              <w:rPr>
                <w:rFonts w:hint="eastAsia" w:eastAsia="宋体"/>
                <w:color w:val="FF0000"/>
                <w:sz w:val="21"/>
                <w:szCs w:val="21"/>
                <w:highlight w:val="none"/>
                <w:lang w:val="en-US" w:eastAsia="zh-CN"/>
              </w:rPr>
              <w:t>~2.1km</w:t>
            </w:r>
          </w:p>
        </w:tc>
        <w:tc>
          <w:tcPr>
            <w:tcW w:w="1880" w:type="dxa"/>
            <w:gridSpan w:val="2"/>
            <w:noWrap w:val="0"/>
            <w:vAlign w:val="center"/>
          </w:tcPr>
          <w:p>
            <w:pPr>
              <w:ind w:left="0" w:leftChars="0" w:firstLine="0" w:firstLineChars="0"/>
              <w:jc w:val="center"/>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约</w:t>
            </w:r>
            <w:r>
              <w:rPr>
                <w:rFonts w:hint="eastAsia" w:eastAsia="宋体"/>
                <w:color w:val="FF0000"/>
                <w:sz w:val="21"/>
                <w:szCs w:val="21"/>
                <w:highlight w:val="none"/>
                <w:lang w:val="en-US" w:eastAsia="zh-CN"/>
              </w:rPr>
              <w:t>4</w:t>
            </w:r>
            <w:r>
              <w:rPr>
                <w:rFonts w:hint="eastAsia" w:ascii="Times New Roman" w:hAnsi="Times New Roman" w:eastAsia="宋体"/>
                <w:color w:val="FF0000"/>
                <w:sz w:val="21"/>
                <w:szCs w:val="21"/>
                <w:highlight w:val="none"/>
                <w:lang w:val="en-US" w:eastAsia="zh-CN"/>
              </w:rPr>
              <w:t>户/</w:t>
            </w:r>
            <w:r>
              <w:rPr>
                <w:rFonts w:hint="eastAsia" w:eastAsia="宋体"/>
                <w:color w:val="FF0000"/>
                <w:sz w:val="21"/>
                <w:szCs w:val="21"/>
                <w:highlight w:val="none"/>
                <w:lang w:val="en-US" w:eastAsia="zh-CN"/>
              </w:rPr>
              <w:t>14</w:t>
            </w:r>
            <w:r>
              <w:rPr>
                <w:rFonts w:hint="eastAsia" w:ascii="Times New Roman" w:hAnsi="Times New Roman" w:eastAsia="宋体"/>
                <w:color w:val="FF0000"/>
                <w:sz w:val="21"/>
                <w:szCs w:val="21"/>
                <w:highlight w:val="none"/>
                <w:lang w:val="en-US" w:eastAsia="zh-CN"/>
              </w:rPr>
              <w:t>人</w:t>
            </w:r>
          </w:p>
        </w:tc>
        <w:tc>
          <w:tcPr>
            <w:tcW w:w="2693" w:type="dxa"/>
            <w:noWrap w:val="0"/>
            <w:vAlign w:val="center"/>
          </w:tcPr>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《环境空气质量标准》（GB3095-2012）</w:t>
            </w:r>
          </w:p>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二级标准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default" w:ascii="Times New Roman" w:hAnsi="Times New Roman" w:eastAsia="宋体"/>
                <w:sz w:val="21"/>
                <w:szCs w:val="21"/>
                <w:highlight w:val="none"/>
                <w:lang w:val="en-US" w:eastAsia="zh-CN"/>
              </w:rPr>
            </w:pPr>
            <w:r>
              <w:rPr>
                <w:rFonts w:hint="eastAsia" w:eastAsia="宋体"/>
                <w:sz w:val="21"/>
                <w:szCs w:val="21"/>
                <w:highlight w:val="none"/>
                <w:lang w:val="en-US" w:eastAsia="zh-CN"/>
              </w:rPr>
              <w:t>声环境</w:t>
            </w:r>
          </w:p>
        </w:tc>
        <w:tc>
          <w:tcPr>
            <w:tcW w:w="4866" w:type="dxa"/>
            <w:gridSpan w:val="5"/>
            <w:noWrap w:val="0"/>
            <w:vAlign w:val="center"/>
          </w:tcPr>
          <w:p>
            <w:pPr>
              <w:ind w:left="0" w:leftChars="0" w:firstLine="0" w:firstLineChars="0"/>
              <w:jc w:val="center"/>
              <w:rPr>
                <w:rFonts w:hint="default" w:ascii="Times New Roman" w:hAnsi="Times New Roman" w:eastAsia="宋体"/>
                <w:sz w:val="21"/>
                <w:szCs w:val="21"/>
                <w:highlight w:val="none"/>
                <w:lang w:val="en-US" w:eastAsia="zh-CN"/>
              </w:rPr>
            </w:pPr>
            <w:r>
              <w:rPr>
                <w:rFonts w:hint="eastAsia" w:eastAsia="宋体"/>
                <w:sz w:val="21"/>
                <w:szCs w:val="21"/>
                <w:highlight w:val="none"/>
                <w:lang w:val="en-US" w:eastAsia="zh-CN"/>
              </w:rPr>
              <w:t>厂界外200m范围内的声环境质量</w:t>
            </w:r>
          </w:p>
        </w:tc>
        <w:tc>
          <w:tcPr>
            <w:tcW w:w="2693" w:type="dxa"/>
            <w:noWrap w:val="0"/>
            <w:vAlign w:val="center"/>
          </w:tcPr>
          <w:p>
            <w:pPr>
              <w:ind w:left="0" w:leftChars="0"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eastAsia="宋体" w:cstheme="minorBidi"/>
                <w:color w:val="auto"/>
                <w:sz w:val="21"/>
                <w:szCs w:val="21"/>
                <w:highlight w:val="none"/>
              </w:rPr>
              <w:t>《声环境质量标准》（GB3096-2008）规定的</w:t>
            </w:r>
            <w:r>
              <w:rPr>
                <w:rFonts w:hint="eastAsia" w:ascii="Times New Roman" w:hAnsi="Times New Roman" w:eastAsia="宋体" w:cstheme="minorBidi"/>
                <w:color w:val="auto"/>
                <w:sz w:val="21"/>
                <w:szCs w:val="21"/>
                <w:highlight w:val="none"/>
                <w:lang w:val="en-US" w:eastAsia="zh-CN"/>
              </w:rPr>
              <w:t>2</w:t>
            </w:r>
            <w:r>
              <w:rPr>
                <w:rFonts w:hint="eastAsia" w:ascii="Times New Roman" w:hAnsi="Times New Roman" w:eastAsia="宋体" w:cstheme="minorBidi"/>
                <w:color w:val="auto"/>
                <w:sz w:val="21"/>
                <w:szCs w:val="21"/>
                <w:highlight w:val="none"/>
              </w:rPr>
              <w:t>类声功能区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土壤环境</w:t>
            </w:r>
          </w:p>
        </w:tc>
        <w:tc>
          <w:tcPr>
            <w:tcW w:w="4866" w:type="dxa"/>
            <w:gridSpan w:val="5"/>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矿区界外50m范围牧草地</w:t>
            </w:r>
          </w:p>
        </w:tc>
        <w:tc>
          <w:tcPr>
            <w:tcW w:w="2693" w:type="dxa"/>
            <w:noWrap w:val="0"/>
            <w:vAlign w:val="center"/>
          </w:tcPr>
          <w:p>
            <w:pPr>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rPr>
              <w:t>《土壤环境质量 农用地土壤污染风险管控标准（试行）》（GB15618-2018）风险筛选值</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生态环境</w:t>
            </w:r>
          </w:p>
        </w:tc>
        <w:tc>
          <w:tcPr>
            <w:tcW w:w="4866" w:type="dxa"/>
            <w:gridSpan w:val="5"/>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矿区外基本草原、矿区南侧20m古河道（无水）</w:t>
            </w:r>
          </w:p>
        </w:tc>
        <w:tc>
          <w:tcPr>
            <w:tcW w:w="2693" w:type="dxa"/>
            <w:noWrap w:val="0"/>
            <w:vAlign w:val="center"/>
          </w:tcPr>
          <w:p>
            <w:pPr>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保证土地使用功能，维持区域生态系统的完整性、稳定性和生物多样性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vMerge w:val="restart"/>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运输道路</w:t>
            </w: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居民1</w:t>
            </w: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北侧360m</w:t>
            </w:r>
          </w:p>
        </w:tc>
        <w:tc>
          <w:tcPr>
            <w:tcW w:w="1622"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1户/约4人</w:t>
            </w:r>
          </w:p>
        </w:tc>
        <w:tc>
          <w:tcPr>
            <w:tcW w:w="2693" w:type="dxa"/>
            <w:vMerge w:val="restart"/>
            <w:noWrap w:val="0"/>
            <w:vAlign w:val="center"/>
          </w:tcPr>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《环境空气质量标准》（GB3095-2012）</w:t>
            </w:r>
          </w:p>
          <w:p>
            <w:pPr>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ascii="Times New Roman" w:hAnsi="Times New Roman" w:eastAsia="宋体"/>
                <w:color w:val="FF0000"/>
                <w:sz w:val="21"/>
                <w:szCs w:val="21"/>
                <w:highlight w:val="none"/>
                <w:lang w:eastAsia="zh-CN"/>
              </w:rPr>
              <w:t>二级标准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vMerge w:val="continue"/>
            <w:noWrap w:val="0"/>
            <w:vAlign w:val="center"/>
          </w:tcPr>
          <w:p>
            <w:pPr>
              <w:ind w:left="0" w:leftChars="0" w:firstLine="0" w:firstLineChars="0"/>
              <w:jc w:val="center"/>
              <w:rPr>
                <w:rFonts w:hint="eastAsia" w:eastAsia="宋体"/>
                <w:color w:val="FF0000"/>
                <w:sz w:val="21"/>
                <w:szCs w:val="21"/>
                <w:highlight w:val="none"/>
                <w:lang w:val="en-US" w:eastAsia="zh-CN"/>
              </w:rPr>
            </w:pP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居民2~3</w:t>
            </w: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南侧900m</w:t>
            </w:r>
          </w:p>
        </w:tc>
        <w:tc>
          <w:tcPr>
            <w:tcW w:w="1622"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2户/约9人</w:t>
            </w:r>
          </w:p>
        </w:tc>
        <w:tc>
          <w:tcPr>
            <w:tcW w:w="2693" w:type="dxa"/>
            <w:vMerge w:val="continue"/>
            <w:noWrap w:val="0"/>
            <w:vAlign w:val="center"/>
          </w:tcPr>
          <w:p>
            <w:pPr>
              <w:ind w:left="0" w:leftChars="0" w:firstLine="0" w:firstLineChars="0"/>
              <w:jc w:val="center"/>
              <w:rPr>
                <w:rFonts w:hint="default" w:ascii="Times New Roman" w:hAnsi="Times New Roman" w:eastAsia="宋体" w:cstheme="minorBidi"/>
                <w:color w:val="FF0000"/>
                <w:sz w:val="21"/>
                <w:szCs w:val="21"/>
                <w:highlight w:val="none"/>
                <w:lang w:val="en-US" w:eastAsia="zh-CN"/>
              </w:rPr>
            </w:pPr>
          </w:p>
        </w:tc>
      </w:tr>
    </w:tbl>
    <w:p>
      <w:pPr>
        <w:ind w:left="0" w:leftChars="0" w:firstLine="0" w:firstLineChars="0"/>
        <w:jc w:val="center"/>
        <w:rPr>
          <w:rFonts w:hint="eastAsia" w:ascii="Times New Roman" w:hAnsi="Times New Roman" w:eastAsia="仿宋"/>
          <w:highlight w:val="yellow"/>
          <w:lang w:eastAsia="zh-CN"/>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ascii="Times New Roman" w:hAnsi="Times New Roman" w:eastAsia="宋体"/>
          <w:b/>
          <w:bCs w:val="0"/>
          <w:color w:val="auto"/>
          <w:sz w:val="36"/>
          <w:szCs w:val="36"/>
          <w:highlight w:val="none"/>
        </w:rPr>
      </w:pPr>
      <w:bookmarkStart w:id="81" w:name="_Toc4015"/>
      <w:r>
        <w:rPr>
          <w:rFonts w:hint="eastAsia" w:ascii="Times New Roman" w:hAnsi="Times New Roman" w:eastAsia="宋体"/>
          <w:b/>
          <w:bCs w:val="0"/>
          <w:color w:val="auto"/>
          <w:sz w:val="36"/>
          <w:szCs w:val="36"/>
          <w:highlight w:val="none"/>
        </w:rPr>
        <w:t>3 项目概况及工程分析</w:t>
      </w:r>
      <w:bookmarkEnd w:id="81"/>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32"/>
          <w:szCs w:val="32"/>
          <w:highlight w:val="none"/>
          <w:lang w:val="en-US"/>
        </w:rPr>
      </w:pPr>
      <w:bookmarkStart w:id="82" w:name="_Toc30678"/>
      <w:r>
        <w:rPr>
          <w:rFonts w:hint="eastAsia" w:ascii="Times New Roman" w:hAnsi="Times New Roman" w:eastAsia="宋体"/>
          <w:b/>
          <w:bCs w:val="0"/>
          <w:color w:val="auto"/>
          <w:sz w:val="32"/>
          <w:szCs w:val="32"/>
          <w:highlight w:val="none"/>
        </w:rPr>
        <w:t xml:space="preserve">3.1 </w:t>
      </w:r>
      <w:r>
        <w:rPr>
          <w:rFonts w:hint="eastAsia" w:ascii="Times New Roman" w:hAnsi="Times New Roman" w:eastAsia="宋体"/>
          <w:b/>
          <w:bCs w:val="0"/>
          <w:color w:val="auto"/>
          <w:sz w:val="32"/>
          <w:szCs w:val="32"/>
          <w:highlight w:val="none"/>
          <w:lang w:val="en-US" w:eastAsia="zh-CN"/>
        </w:rPr>
        <w:t>现有工程概况</w:t>
      </w:r>
      <w:bookmarkEnd w:id="82"/>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83" w:name="_Toc10383"/>
      <w:r>
        <w:rPr>
          <w:rFonts w:hint="eastAsia" w:ascii="Times New Roman" w:hAnsi="Times New Roman" w:eastAsia="宋体"/>
          <w:b/>
          <w:bCs w:val="0"/>
          <w:color w:val="auto"/>
          <w:sz w:val="30"/>
          <w:szCs w:val="30"/>
          <w:highlight w:val="none"/>
        </w:rPr>
        <w:t xml:space="preserve">3.1.1 </w:t>
      </w:r>
      <w:r>
        <w:rPr>
          <w:rFonts w:hint="eastAsia" w:ascii="Times New Roman" w:hAnsi="Times New Roman" w:eastAsia="宋体"/>
          <w:b/>
          <w:bCs w:val="0"/>
          <w:color w:val="auto"/>
          <w:sz w:val="30"/>
          <w:szCs w:val="30"/>
          <w:highlight w:val="none"/>
          <w:lang w:val="en-US" w:eastAsia="zh-CN"/>
        </w:rPr>
        <w:t>现有</w:t>
      </w:r>
      <w:r>
        <w:rPr>
          <w:rFonts w:hint="eastAsia" w:ascii="Times New Roman" w:hAnsi="Times New Roman" w:eastAsia="宋体"/>
          <w:b/>
          <w:bCs w:val="0"/>
          <w:color w:val="auto"/>
          <w:sz w:val="30"/>
          <w:szCs w:val="30"/>
          <w:highlight w:val="none"/>
        </w:rPr>
        <w:t>项目基本情况</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现有</w:t>
      </w:r>
      <w:r>
        <w:rPr>
          <w:rFonts w:hint="eastAsia" w:ascii="Times New Roman" w:hAnsi="Times New Roman" w:eastAsia="宋体"/>
          <w:color w:val="auto"/>
          <w:highlight w:val="none"/>
        </w:rPr>
        <w:t>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于</w:t>
      </w:r>
      <w:r>
        <w:rPr>
          <w:rFonts w:hint="eastAsia" w:ascii="Times New Roman" w:hAnsi="Times New Roman" w:eastAsia="宋体"/>
          <w:color w:val="auto"/>
          <w:highlight w:val="none"/>
          <w:lang w:val="en-US" w:eastAsia="zh-CN"/>
        </w:rPr>
        <w:t>20</w:t>
      </w:r>
      <w:r>
        <w:rPr>
          <w:rFonts w:hint="eastAsia" w:eastAsia="宋体"/>
          <w:color w:val="auto"/>
          <w:highlight w:val="none"/>
          <w:lang w:val="en-US" w:eastAsia="zh-CN"/>
        </w:rPr>
        <w:t>14</w:t>
      </w:r>
      <w:r>
        <w:rPr>
          <w:rFonts w:hint="eastAsia" w:ascii="Times New Roman" w:hAnsi="Times New Roman" w:eastAsia="宋体"/>
          <w:color w:val="auto"/>
          <w:highlight w:val="none"/>
          <w:lang w:val="en-US" w:eastAsia="zh-CN"/>
        </w:rPr>
        <w:t>年1</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月</w:t>
      </w:r>
      <w:r>
        <w:rPr>
          <w:rFonts w:hint="eastAsia" w:eastAsia="宋体"/>
          <w:color w:val="auto"/>
          <w:highlight w:val="none"/>
          <w:lang w:val="en-US" w:eastAsia="zh-CN"/>
        </w:rPr>
        <w:t>委托内蒙古新创环境科技有限公司编制完成《苏尼特右旗巴润宝力格采砂场项目环境影响报告表》，于2015年4月7日取得原苏尼特右旗环境保护局</w:t>
      </w:r>
      <w:r>
        <w:rPr>
          <w:rFonts w:hint="eastAsia" w:ascii="Times New Roman" w:hAnsi="Times New Roman" w:eastAsia="宋体"/>
          <w:color w:val="auto"/>
          <w:highlight w:val="none"/>
          <w:lang w:val="en-US" w:eastAsia="zh-CN"/>
        </w:rPr>
        <w:t>环评批复</w:t>
      </w:r>
      <w:r>
        <w:rPr>
          <w:rFonts w:hint="eastAsia" w:eastAsia="宋体"/>
          <w:color w:val="auto"/>
          <w:highlight w:val="none"/>
          <w:lang w:val="en-US" w:eastAsia="zh-CN"/>
        </w:rPr>
        <w:t>文件，文号：苏右环审书[2015]1号；2019年10月委托锡林郭勒盟鑫创绿环境治理服务有限公司对《苏尼特右旗巴润宝力格采砂场项目竣工环境保护验收调查报告》，于2019年12月7日通过</w:t>
      </w:r>
      <w:r>
        <w:rPr>
          <w:rFonts w:hint="eastAsia" w:ascii="Times New Roman" w:hAnsi="Times New Roman" w:eastAsia="宋体"/>
          <w:color w:val="auto"/>
          <w:highlight w:val="none"/>
          <w:lang w:val="en-US" w:eastAsia="zh-CN"/>
        </w:rPr>
        <w:t>验收</w:t>
      </w:r>
      <w:r>
        <w:rPr>
          <w:rFonts w:hint="eastAsia" w:eastAsia="宋体"/>
          <w:color w:val="auto"/>
          <w:highlight w:val="none"/>
          <w:lang w:val="en-US" w:eastAsia="zh-CN"/>
        </w:rPr>
        <w:t>专家组评审</w:t>
      </w:r>
      <w:r>
        <w:rPr>
          <w:rFonts w:hint="eastAsia" w:ascii="Times New Roman" w:hAnsi="Times New Roman" w:eastAsia="宋体"/>
          <w:color w:val="auto"/>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84" w:name="_Toc28232"/>
      <w:r>
        <w:rPr>
          <w:rFonts w:ascii="Times New Roman" w:hAnsi="Times New Roman" w:eastAsia="宋体"/>
          <w:b/>
          <w:bCs w:val="0"/>
          <w:color w:val="auto"/>
          <w:sz w:val="30"/>
          <w:highlight w:val="none"/>
        </w:rPr>
        <w:t>3.1.</w:t>
      </w:r>
      <w:r>
        <w:rPr>
          <w:rFonts w:hint="eastAsia" w:eastAsia="宋体"/>
          <w:b/>
          <w:bCs w:val="0"/>
          <w:color w:val="auto"/>
          <w:sz w:val="30"/>
          <w:highlight w:val="none"/>
          <w:lang w:val="en-US" w:eastAsia="zh-CN"/>
        </w:rPr>
        <w:t>2</w:t>
      </w:r>
      <w:r>
        <w:rPr>
          <w:rFonts w:hint="eastAsia" w:ascii="Times New Roman" w:hAnsi="Times New Roman" w:eastAsia="宋体"/>
          <w:b/>
          <w:bCs w:val="0"/>
          <w:color w:val="auto"/>
          <w:sz w:val="30"/>
          <w:highlight w:val="none"/>
        </w:rPr>
        <w:t xml:space="preserve"> </w:t>
      </w:r>
      <w:r>
        <w:rPr>
          <w:rFonts w:hint="eastAsia" w:ascii="Times New Roman" w:hAnsi="Times New Roman" w:eastAsia="宋体"/>
          <w:b/>
          <w:bCs w:val="0"/>
          <w:color w:val="auto"/>
          <w:sz w:val="30"/>
          <w:highlight w:val="none"/>
          <w:lang w:val="en-US" w:eastAsia="zh-CN"/>
        </w:rPr>
        <w:t>地理位置</w:t>
      </w:r>
      <w:bookmarkEnd w:id="84"/>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项目矿区位于苏尼特右旗镇府所在地赛汉塔拉镇东南约50km处，行政区划隶属于朱日和镇管辖。矿区南东距G208国道约3km，与旗政府赛汉塔拉镇和集宁连接，期间都有砂石路相连，由锡林浩特市沿省道S101线西行370km到达苏尼特右旗赛汉塔拉镇与集二线相连，交通较为便利。地理位置见附图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表3.1-1巴润宝力格采砂场拐点坐标</w:t>
      </w:r>
    </w:p>
    <w:tbl>
      <w:tblPr>
        <w:tblStyle w:val="35"/>
        <w:tblW w:w="8303" w:type="dxa"/>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2"/>
        <w:gridCol w:w="1885"/>
        <w:gridCol w:w="1758"/>
        <w:gridCol w:w="1703"/>
        <w:gridCol w:w="17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123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点号</w:t>
            </w:r>
          </w:p>
        </w:tc>
        <w:tc>
          <w:tcPr>
            <w:tcW w:w="3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80西安坐标系（6°带）</w:t>
            </w:r>
          </w:p>
        </w:tc>
        <w:tc>
          <w:tcPr>
            <w:tcW w:w="34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2000国家大地坐标系（6°带）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highlight w:val="none"/>
                <w:lang w:val="en-US" w:eastAsia="zh-CN"/>
              </w:rPr>
            </w:pP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X</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Y</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X</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4705669</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19652976</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4705676.3638</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19653091.5908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4705668</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19653432</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4705675.3649</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19653547.5936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4705409</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19653439</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4705416.3638</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19653554.5938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4705413</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19652971</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4705420.3626</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19653086.5909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8303"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矿区面积0.1190km</w:t>
            </w:r>
            <w:r>
              <w:rPr>
                <w:rFonts w:hint="eastAsia" w:ascii="Times New Roman" w:hAnsi="Times New Roman" w:eastAsia="宋体"/>
                <w:color w:val="auto"/>
                <w:highlight w:val="none"/>
                <w:vertAlign w:val="superscript"/>
                <w:lang w:val="en-US" w:eastAsia="zh-CN"/>
              </w:rPr>
              <w:t>2</w:t>
            </w:r>
            <w:r>
              <w:rPr>
                <w:rFonts w:hint="eastAsia" w:ascii="Times New Roman" w:hAnsi="Times New Roman" w:eastAsia="宋体"/>
                <w:color w:val="auto"/>
                <w:highlight w:val="none"/>
                <w:lang w:val="en-US" w:eastAsia="zh-CN"/>
              </w:rPr>
              <w:t>，开采深度：1145.0~1136.0ｍ</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85" w:name="_Toc6940"/>
      <w:r>
        <w:rPr>
          <w:rFonts w:ascii="Times New Roman" w:hAnsi="Times New Roman" w:eastAsia="宋体"/>
          <w:b/>
          <w:bCs w:val="0"/>
          <w:color w:val="auto"/>
          <w:sz w:val="30"/>
          <w:highlight w:val="none"/>
        </w:rPr>
        <w:t>3.1.</w:t>
      </w:r>
      <w:r>
        <w:rPr>
          <w:rFonts w:hint="eastAsia" w:eastAsia="宋体"/>
          <w:b/>
          <w:bCs w:val="0"/>
          <w:color w:val="auto"/>
          <w:sz w:val="30"/>
          <w:highlight w:val="none"/>
          <w:lang w:val="en-US" w:eastAsia="zh-CN"/>
        </w:rPr>
        <w:t>3</w:t>
      </w:r>
      <w:r>
        <w:rPr>
          <w:rFonts w:hint="eastAsia" w:ascii="Times New Roman" w:hAnsi="Times New Roman" w:eastAsia="宋体"/>
          <w:b/>
          <w:bCs w:val="0"/>
          <w:color w:val="auto"/>
          <w:sz w:val="30"/>
          <w:highlight w:val="none"/>
        </w:rPr>
        <w:t xml:space="preserve"> </w:t>
      </w:r>
      <w:r>
        <w:rPr>
          <w:rFonts w:hint="eastAsia" w:ascii="Times New Roman" w:hAnsi="Times New Roman" w:eastAsia="宋体"/>
          <w:b/>
          <w:bCs w:val="0"/>
          <w:color w:val="auto"/>
          <w:sz w:val="30"/>
          <w:highlight w:val="none"/>
          <w:lang w:val="en-US" w:eastAsia="zh-CN"/>
        </w:rPr>
        <w:t>现有工程项目组成</w:t>
      </w:r>
      <w:bookmarkEnd w:id="85"/>
    </w:p>
    <w:p>
      <w:pPr>
        <w:spacing w:line="360" w:lineRule="auto"/>
        <w:ind w:firstLine="480"/>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项目矿区位于苏尼特右旗镇府所在地赛汉塔拉镇东南约50km处，行政区划隶属于朱日和镇管辖。</w:t>
      </w:r>
      <w:r>
        <w:rPr>
          <w:rFonts w:hint="eastAsia" w:eastAsia="宋体"/>
          <w:b w:val="0"/>
          <w:bCs w:val="0"/>
          <w:color w:val="auto"/>
          <w:highlight w:val="none"/>
          <w:lang w:val="en-US" w:eastAsia="zh-CN"/>
        </w:rPr>
        <w:t>现有</w:t>
      </w:r>
      <w:r>
        <w:rPr>
          <w:rFonts w:hint="eastAsia" w:ascii="Times New Roman" w:hAnsi="Times New Roman" w:eastAsia="宋体"/>
          <w:b w:val="0"/>
          <w:bCs w:val="0"/>
          <w:color w:val="auto"/>
          <w:highlight w:val="none"/>
          <w:lang w:val="en-US" w:eastAsia="zh-CN"/>
        </w:rPr>
        <w:t>项目采矿总投资为85万元。矿区开采矿种为建筑用砂，设计生产规模为2万m</w:t>
      </w:r>
      <w:r>
        <w:rPr>
          <w:rFonts w:hint="eastAsia" w:ascii="Times New Roman" w:hAnsi="Times New Roman" w:eastAsia="宋体"/>
          <w:b w:val="0"/>
          <w:bCs w:val="0"/>
          <w:color w:val="auto"/>
          <w:highlight w:val="none"/>
          <w:vertAlign w:val="superscript"/>
          <w:lang w:val="en-US" w:eastAsia="zh-CN"/>
        </w:rPr>
        <w:t>3</w:t>
      </w:r>
      <w:r>
        <w:rPr>
          <w:rFonts w:hint="eastAsia" w:ascii="Times New Roman" w:hAnsi="Times New Roman" w:eastAsia="宋体"/>
          <w:b w:val="0"/>
          <w:bCs w:val="0"/>
          <w:color w:val="auto"/>
          <w:highlight w:val="none"/>
          <w:lang w:val="en-US" w:eastAsia="zh-CN"/>
        </w:rPr>
        <w:t>/年，矿区面积为0.1191平方千米，开采方式以露天方式进行开采，开采深度为由11</w:t>
      </w:r>
      <w:r>
        <w:rPr>
          <w:rFonts w:hint="eastAsia" w:eastAsia="宋体"/>
          <w:b w:val="0"/>
          <w:bCs w:val="0"/>
          <w:color w:val="auto"/>
          <w:highlight w:val="none"/>
          <w:lang w:val="en-US" w:eastAsia="zh-CN"/>
        </w:rPr>
        <w:t>46</w:t>
      </w:r>
      <w:r>
        <w:rPr>
          <w:rFonts w:hint="eastAsia" w:ascii="Times New Roman" w:hAnsi="Times New Roman" w:eastAsia="宋体"/>
          <w:b w:val="0"/>
          <w:bCs w:val="0"/>
          <w:color w:val="auto"/>
          <w:highlight w:val="none"/>
          <w:lang w:val="en-US" w:eastAsia="zh-CN"/>
        </w:rPr>
        <w:t>m至11</w:t>
      </w:r>
      <w:r>
        <w:rPr>
          <w:rFonts w:hint="eastAsia" w:eastAsia="宋体"/>
          <w:b w:val="0"/>
          <w:bCs w:val="0"/>
          <w:color w:val="auto"/>
          <w:highlight w:val="none"/>
          <w:lang w:val="en-US" w:eastAsia="zh-CN"/>
        </w:rPr>
        <w:t>36</w:t>
      </w:r>
      <w:r>
        <w:rPr>
          <w:rFonts w:hint="eastAsia" w:ascii="Times New Roman" w:hAnsi="Times New Roman" w:eastAsia="宋体"/>
          <w:b w:val="0"/>
          <w:bCs w:val="0"/>
          <w:color w:val="auto"/>
          <w:highlight w:val="none"/>
          <w:lang w:val="en-US" w:eastAsia="zh-CN"/>
        </w:rPr>
        <w:t>m标高，矿山开拓方式为采用直进式公路开拓，汽车运输。</w:t>
      </w:r>
    </w:p>
    <w:p>
      <w:pPr>
        <w:spacing w:line="360" w:lineRule="auto"/>
        <w:ind w:firstLine="480"/>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矿区现有工程主要包括</w:t>
      </w:r>
      <w:r>
        <w:rPr>
          <w:rFonts w:ascii="Times New Roman" w:hAnsi="宋体" w:eastAsia="宋体"/>
          <w:sz w:val="24"/>
          <w:szCs w:val="24"/>
          <w:highlight w:val="none"/>
        </w:rPr>
        <w:t>主体工程、辅助工程、公用工程、道路运输和环保工程</w:t>
      </w:r>
      <w:r>
        <w:rPr>
          <w:rFonts w:hint="eastAsia" w:ascii="Times New Roman" w:hAnsi="Times New Roman" w:eastAsia="宋体"/>
          <w:b w:val="0"/>
          <w:bCs w:val="0"/>
          <w:color w:val="auto"/>
          <w:highlight w:val="none"/>
          <w:lang w:val="en-US" w:eastAsia="zh-CN"/>
        </w:rPr>
        <w:t>等组成。矿区项目组成见表3.1-1</w:t>
      </w:r>
      <w:r>
        <w:rPr>
          <w:rFonts w:hint="eastAsia" w:eastAsia="宋体"/>
          <w:b w:val="0"/>
          <w:bCs w:val="0"/>
          <w:color w:val="auto"/>
          <w:highlight w:val="none"/>
          <w:lang w:val="en-US" w:eastAsia="zh-CN"/>
        </w:rPr>
        <w:t>，主要设备见表3.1-2</w:t>
      </w:r>
      <w:r>
        <w:rPr>
          <w:rFonts w:hint="eastAsia" w:ascii="Times New Roman" w:hAnsi="Times New Roman" w:eastAsia="宋体"/>
          <w:b w:val="0"/>
          <w:bCs w:val="0"/>
          <w:color w:val="auto"/>
          <w:highlight w:val="none"/>
          <w:lang w:val="en-US" w:eastAsia="zh-CN"/>
        </w:rPr>
        <w:t>。</w:t>
      </w:r>
      <w:r>
        <w:rPr>
          <w:rFonts w:hint="eastAsia" w:eastAsia="宋体"/>
          <w:b w:val="0"/>
          <w:bCs w:val="0"/>
          <w:color w:val="auto"/>
          <w:highlight w:val="none"/>
          <w:lang w:val="en-US" w:eastAsia="zh-CN"/>
        </w:rPr>
        <w:t>现有项目矿区范围及平面布置见附图3。</w:t>
      </w:r>
    </w:p>
    <w:p>
      <w:pPr>
        <w:spacing w:line="360" w:lineRule="auto"/>
        <w:ind w:left="0" w:leftChars="0" w:firstLine="0" w:firstLineChars="0"/>
        <w:jc w:val="center"/>
        <w:rPr>
          <w:rFonts w:hint="eastAsia" w:ascii="Times New Roman" w:hAnsi="Times New Roman" w:eastAsia="宋体"/>
          <w:b/>
          <w:bCs/>
          <w:color w:val="FF0000"/>
          <w:highlight w:val="none"/>
          <w:lang w:val="en-US" w:eastAsia="zh-CN"/>
        </w:rPr>
      </w:pPr>
      <w:r>
        <w:rPr>
          <w:rFonts w:hint="eastAsia" w:ascii="Times New Roman" w:hAnsi="Times New Roman" w:eastAsia="宋体"/>
          <w:b/>
          <w:bCs/>
          <w:color w:val="FF0000"/>
          <w:highlight w:val="none"/>
          <w:lang w:val="en-US" w:eastAsia="zh-CN"/>
        </w:rPr>
        <w:t>表3.1-1 现有工程组成一览表</w:t>
      </w:r>
    </w:p>
    <w:tbl>
      <w:tblPr>
        <w:tblStyle w:val="35"/>
        <w:tblW w:w="840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42"/>
        <w:gridCol w:w="2712"/>
        <w:gridCol w:w="1073"/>
        <w:gridCol w:w="31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类别</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单项工程</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hint="eastAsia" w:ascii="Times New Roman"/>
                <w:bCs w:val="0"/>
                <w:color w:val="FF0000"/>
                <w:sz w:val="21"/>
                <w:szCs w:val="21"/>
                <w:u w:val="none" w:color="000000"/>
                <w:lang w:val="en-US" w:eastAsia="zh-CN"/>
              </w:rPr>
              <w:t>原有环评</w:t>
            </w:r>
            <w:r>
              <w:rPr>
                <w:rFonts w:ascii="Times New Roman"/>
                <w:bCs w:val="0"/>
                <w:color w:val="FF0000"/>
                <w:sz w:val="21"/>
                <w:szCs w:val="21"/>
                <w:u w:val="none" w:color="000000"/>
              </w:rPr>
              <w:t>工程内容</w:t>
            </w:r>
          </w:p>
        </w:tc>
        <w:tc>
          <w:tcPr>
            <w:tcW w:w="1073"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原工程竣工验收</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现状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restart"/>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主体工程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采矿</w:t>
            </w:r>
          </w:p>
        </w:tc>
        <w:tc>
          <w:tcPr>
            <w:tcW w:w="2712" w:type="dxa"/>
            <w:tcBorders>
              <w:tl2br w:val="nil"/>
              <w:tr2bl w:val="nil"/>
            </w:tcBorders>
            <w:noWrap w:val="0"/>
            <w:vAlign w:val="center"/>
          </w:tcPr>
          <w:p>
            <w:pPr>
              <w:pStyle w:val="119"/>
              <w:spacing w:line="240" w:lineRule="auto"/>
              <w:ind w:firstLine="0" w:firstLineChars="0"/>
              <w:jc w:val="left"/>
              <w:rPr>
                <w:rFonts w:ascii="Times New Roman" w:hAnsi="Times New Roman"/>
                <w:bCs w:val="0"/>
                <w:color w:val="FF0000"/>
                <w:sz w:val="21"/>
                <w:szCs w:val="21"/>
                <w:u w:val="none" w:color="000000"/>
              </w:rPr>
            </w:pPr>
            <w:r>
              <w:rPr>
                <w:rFonts w:ascii="Times New Roman"/>
                <w:bCs w:val="0"/>
                <w:color w:val="FF0000"/>
                <w:sz w:val="21"/>
                <w:szCs w:val="21"/>
                <w:u w:val="none" w:color="000000"/>
              </w:rPr>
              <w:t>项目矿区位于苏尼特右旗政府所在地赛汉塔拉镇东南</w:t>
            </w:r>
            <w:r>
              <w:rPr>
                <w:rFonts w:ascii="Times New Roman" w:hAnsi="Times New Roman"/>
                <w:bCs w:val="0"/>
                <w:color w:val="FF0000"/>
                <w:sz w:val="21"/>
                <w:szCs w:val="21"/>
                <w:u w:val="none" w:color="000000"/>
              </w:rPr>
              <w:t>50km</w:t>
            </w:r>
            <w:r>
              <w:rPr>
                <w:rFonts w:ascii="Times New Roman"/>
                <w:bCs w:val="0"/>
                <w:color w:val="FF0000"/>
                <w:sz w:val="21"/>
                <w:szCs w:val="21"/>
                <w:u w:val="none" w:color="000000"/>
              </w:rPr>
              <w:t>处，行政区划隶属于朱日和镇管辖。开采矿种为建筑用砂；开采方式为露天开采；生产规模为</w:t>
            </w:r>
            <w:r>
              <w:rPr>
                <w:rFonts w:ascii="Times New Roman" w:hAnsi="Times New Roman"/>
                <w:color w:val="FF0000"/>
                <w:sz w:val="21"/>
                <w:szCs w:val="21"/>
              </w:rPr>
              <w:t>2</w:t>
            </w:r>
            <w:r>
              <w:rPr>
                <w:rFonts w:ascii="Times New Roman"/>
                <w:color w:val="FF0000"/>
                <w:sz w:val="21"/>
                <w:szCs w:val="21"/>
              </w:rPr>
              <w:t>万</w:t>
            </w:r>
            <w:r>
              <w:rPr>
                <w:rFonts w:ascii="Times New Roman" w:hAnsi="Times New Roman"/>
                <w:color w:val="FF0000"/>
                <w:sz w:val="21"/>
                <w:szCs w:val="21"/>
              </w:rPr>
              <w:t>m</w:t>
            </w:r>
            <w:r>
              <w:rPr>
                <w:rFonts w:ascii="Times New Roman" w:hAnsi="Times New Roman"/>
                <w:color w:val="FF0000"/>
                <w:sz w:val="21"/>
                <w:szCs w:val="21"/>
                <w:vertAlign w:val="superscript"/>
              </w:rPr>
              <w:t>3</w:t>
            </w:r>
            <w:r>
              <w:rPr>
                <w:rFonts w:ascii="Times New Roman" w:hAnsi="Times New Roman"/>
                <w:color w:val="FF0000"/>
                <w:sz w:val="21"/>
                <w:szCs w:val="21"/>
              </w:rPr>
              <w:t>/</w:t>
            </w:r>
            <w:r>
              <w:rPr>
                <w:rFonts w:ascii="Times New Roman"/>
                <w:color w:val="FF0000"/>
                <w:sz w:val="21"/>
                <w:szCs w:val="21"/>
              </w:rPr>
              <w:t>年；矿区面积为</w:t>
            </w:r>
            <w:r>
              <w:rPr>
                <w:rFonts w:ascii="Times New Roman" w:hAnsi="Times New Roman"/>
                <w:color w:val="FF0000"/>
                <w:sz w:val="21"/>
                <w:szCs w:val="21"/>
              </w:rPr>
              <w:t>0.1190</w:t>
            </w:r>
            <w:r>
              <w:rPr>
                <w:rFonts w:ascii="Times New Roman"/>
                <w:color w:val="FF0000"/>
                <w:sz w:val="21"/>
                <w:szCs w:val="21"/>
              </w:rPr>
              <w:t>平方公里。</w:t>
            </w:r>
          </w:p>
        </w:tc>
        <w:tc>
          <w:tcPr>
            <w:tcW w:w="1073" w:type="dxa"/>
            <w:tcBorders>
              <w:tl2br w:val="nil"/>
              <w:tr2bl w:val="nil"/>
            </w:tcBorders>
            <w:noWrap w:val="0"/>
            <w:vAlign w:val="center"/>
          </w:tcPr>
          <w:p>
            <w:pPr>
              <w:pStyle w:val="119"/>
              <w:spacing w:line="240" w:lineRule="auto"/>
              <w:ind w:firstLine="0" w:firstLineChars="0"/>
              <w:jc w:val="left"/>
              <w:rPr>
                <w:rFonts w:hint="default" w:ascii="Times New Roman" w:eastAsia="宋体"/>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left"/>
              <w:rPr>
                <w:rFonts w:hint="default" w:ascii="Times New Roman" w:eastAsia="宋体"/>
                <w:bCs w:val="0"/>
                <w:color w:val="FF0000"/>
                <w:sz w:val="21"/>
                <w:szCs w:val="21"/>
                <w:u w:val="none" w:color="000000"/>
                <w:lang w:val="en-US" w:eastAsia="zh-CN"/>
              </w:rPr>
            </w:pPr>
            <w:r>
              <w:rPr>
                <w:rFonts w:ascii="Times New Roman"/>
                <w:bCs w:val="0"/>
                <w:color w:val="FF0000"/>
                <w:sz w:val="21"/>
                <w:szCs w:val="21"/>
                <w:u w:val="none" w:color="000000"/>
              </w:rPr>
              <w:t>项目矿区位于苏尼特右旗政府所在地赛汉塔拉镇东南</w:t>
            </w:r>
            <w:r>
              <w:rPr>
                <w:rFonts w:ascii="Times New Roman" w:hAnsi="Times New Roman"/>
                <w:bCs w:val="0"/>
                <w:color w:val="FF0000"/>
                <w:sz w:val="21"/>
                <w:szCs w:val="21"/>
                <w:u w:val="none" w:color="000000"/>
              </w:rPr>
              <w:t>50km</w:t>
            </w:r>
            <w:r>
              <w:rPr>
                <w:rFonts w:ascii="Times New Roman"/>
                <w:bCs w:val="0"/>
                <w:color w:val="FF0000"/>
                <w:sz w:val="21"/>
                <w:szCs w:val="21"/>
                <w:u w:val="none" w:color="000000"/>
              </w:rPr>
              <w:t>处，行政区划隶属于朱日和镇管辖。开采矿种为建筑用砂；开采方式为露天开采；生产规模为</w:t>
            </w:r>
            <w:r>
              <w:rPr>
                <w:rFonts w:ascii="Times New Roman" w:hAnsi="Times New Roman"/>
                <w:color w:val="FF0000"/>
                <w:sz w:val="21"/>
                <w:szCs w:val="21"/>
              </w:rPr>
              <w:t>2</w:t>
            </w:r>
            <w:r>
              <w:rPr>
                <w:rFonts w:ascii="Times New Roman"/>
                <w:color w:val="FF0000"/>
                <w:sz w:val="21"/>
                <w:szCs w:val="21"/>
              </w:rPr>
              <w:t>万</w:t>
            </w:r>
            <w:r>
              <w:rPr>
                <w:rFonts w:ascii="Times New Roman" w:hAnsi="Times New Roman"/>
                <w:color w:val="FF0000"/>
                <w:sz w:val="21"/>
                <w:szCs w:val="21"/>
              </w:rPr>
              <w:t>m</w:t>
            </w:r>
            <w:r>
              <w:rPr>
                <w:rFonts w:ascii="Times New Roman" w:hAnsi="Times New Roman"/>
                <w:color w:val="FF0000"/>
                <w:sz w:val="21"/>
                <w:szCs w:val="21"/>
                <w:vertAlign w:val="superscript"/>
              </w:rPr>
              <w:t>3</w:t>
            </w:r>
            <w:r>
              <w:rPr>
                <w:rFonts w:ascii="Times New Roman" w:hAnsi="Times New Roman"/>
                <w:color w:val="FF0000"/>
                <w:sz w:val="21"/>
                <w:szCs w:val="21"/>
              </w:rPr>
              <w:t>/</w:t>
            </w:r>
            <w:r>
              <w:rPr>
                <w:rFonts w:ascii="Times New Roman"/>
                <w:color w:val="FF0000"/>
                <w:sz w:val="21"/>
                <w:szCs w:val="21"/>
              </w:rPr>
              <w:t>年；矿区面积为</w:t>
            </w:r>
            <w:r>
              <w:rPr>
                <w:rFonts w:ascii="Times New Roman" w:hAnsi="Times New Roman"/>
                <w:color w:val="FF0000"/>
                <w:sz w:val="21"/>
                <w:szCs w:val="21"/>
              </w:rPr>
              <w:t>0.1190</w:t>
            </w:r>
            <w:r>
              <w:rPr>
                <w:rFonts w:ascii="Times New Roman"/>
                <w:color w:val="FF0000"/>
                <w:sz w:val="21"/>
                <w:szCs w:val="21"/>
              </w:rPr>
              <w:t>平方公里。</w:t>
            </w:r>
            <w:r>
              <w:rPr>
                <w:rFonts w:hint="eastAsia" w:ascii="Times New Roman"/>
                <w:color w:val="FF0000"/>
                <w:sz w:val="21"/>
                <w:szCs w:val="21"/>
                <w:lang w:val="en-US" w:eastAsia="zh-CN"/>
              </w:rPr>
              <w:t>已露天开采范围43090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p>
        </w:tc>
        <w:tc>
          <w:tcPr>
            <w:tcW w:w="842"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采坑1</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位于矿区北西部，呈不规则形状，地表面积约为31710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，（采矿范围内31110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，采矿范围外600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）东西最长420</w:t>
            </w:r>
            <w:r>
              <w:rPr>
                <w:rFonts w:hint="default" w:ascii="Times New Roman"/>
                <w:bCs w:val="0"/>
                <w:color w:val="FF0000"/>
                <w:sz w:val="21"/>
                <w:szCs w:val="21"/>
                <w:highlight w:val="none"/>
                <w:u w:val="none" w:color="000000"/>
                <w:lang w:val="en-US" w:eastAsia="zh-CN"/>
              </w:rPr>
              <w:t>m</w:t>
            </w:r>
            <w:r>
              <w:rPr>
                <w:rFonts w:hint="eastAsia" w:ascii="Times New Roman"/>
                <w:bCs w:val="0"/>
                <w:color w:val="FF0000"/>
                <w:sz w:val="21"/>
                <w:szCs w:val="21"/>
                <w:highlight w:val="none"/>
                <w:u w:val="none" w:color="000000"/>
                <w:lang w:val="en-US" w:eastAsia="zh-CN"/>
              </w:rPr>
              <w:t>，南北最宽</w:t>
            </w:r>
            <w:r>
              <w:rPr>
                <w:rFonts w:hint="default" w:ascii="Times New Roman"/>
                <w:bCs w:val="0"/>
                <w:color w:val="FF0000"/>
                <w:sz w:val="21"/>
                <w:szCs w:val="21"/>
                <w:highlight w:val="none"/>
                <w:u w:val="none" w:color="000000"/>
                <w:lang w:val="en-US" w:eastAsia="zh-CN"/>
              </w:rPr>
              <w:t>1</w:t>
            </w:r>
            <w:r>
              <w:rPr>
                <w:rFonts w:hint="eastAsia" w:ascii="Times New Roman"/>
                <w:bCs w:val="0"/>
                <w:color w:val="FF0000"/>
                <w:sz w:val="21"/>
                <w:szCs w:val="21"/>
                <w:highlight w:val="none"/>
                <w:u w:val="none" w:color="000000"/>
                <w:lang w:val="en-US" w:eastAsia="zh-CN"/>
              </w:rPr>
              <w:t>60</w:t>
            </w:r>
            <w:r>
              <w:rPr>
                <w:rFonts w:hint="default" w:ascii="Times New Roman"/>
                <w:bCs w:val="0"/>
                <w:color w:val="FF0000"/>
                <w:sz w:val="21"/>
                <w:szCs w:val="21"/>
                <w:highlight w:val="none"/>
                <w:u w:val="none" w:color="000000"/>
                <w:lang w:val="en-US" w:eastAsia="zh-CN"/>
              </w:rPr>
              <w:t>m</w:t>
            </w:r>
            <w:r>
              <w:rPr>
                <w:rFonts w:hint="eastAsia" w:ascii="Times New Roman"/>
                <w:bCs w:val="0"/>
                <w:color w:val="FF0000"/>
                <w:sz w:val="21"/>
                <w:szCs w:val="21"/>
                <w:highlight w:val="none"/>
                <w:u w:val="none" w:color="000000"/>
                <w:lang w:val="en-US" w:eastAsia="zh-CN"/>
              </w:rPr>
              <w:t>，采坑平均深度11</w:t>
            </w:r>
            <w:r>
              <w:rPr>
                <w:rFonts w:hint="default" w:ascii="Times New Roman"/>
                <w:bCs w:val="0"/>
                <w:color w:val="FF0000"/>
                <w:sz w:val="21"/>
                <w:szCs w:val="21"/>
                <w:highlight w:val="none"/>
                <w:u w:val="none" w:color="000000"/>
                <w:lang w:val="en-US" w:eastAsia="zh-CN"/>
              </w:rPr>
              <w:t>m</w:t>
            </w:r>
            <w:r>
              <w:rPr>
                <w:rFonts w:hint="eastAsia" w:ascii="Times New Roman"/>
                <w:bCs w:val="0"/>
                <w:color w:val="FF0000"/>
                <w:sz w:val="21"/>
                <w:szCs w:val="21"/>
                <w:highlight w:val="none"/>
                <w:u w:val="none" w:color="000000"/>
                <w:lang w:val="en-US" w:eastAsia="zh-CN"/>
              </w:rPr>
              <w:t>，采坑边坡倾角平均为25</w:t>
            </w:r>
            <w:r>
              <w:rPr>
                <w:rFonts w:hint="default" w:ascii="Times New Roman" w:hAnsi="Times New Roman" w:cs="Times New Roman"/>
                <w:bCs w:val="0"/>
                <w:color w:val="FF0000"/>
                <w:sz w:val="21"/>
                <w:szCs w:val="21"/>
                <w:highlight w:val="none"/>
                <w:u w:val="none" w:color="000000"/>
                <w:lang w:val="en-US" w:eastAsia="zh-CN"/>
              </w:rPr>
              <w:t>°</w:t>
            </w:r>
            <w:r>
              <w:rPr>
                <w:rFonts w:hint="eastAsia" w:ascii="Times New Roman"/>
                <w:bCs w:val="0"/>
                <w:color w:val="FF0000"/>
                <w:sz w:val="21"/>
                <w:szCs w:val="21"/>
                <w:highlight w:val="none"/>
                <w:u w:val="none" w:color="000000"/>
                <w:lang w:val="en-US" w:eastAsia="zh-CN"/>
              </w:rPr>
              <w:t>。该采坑已采空，已利用原有废石和表土进行回填恢复治理，现剩余3040m</w:t>
            </w:r>
            <w:r>
              <w:rPr>
                <w:rFonts w:hint="eastAsia"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未回填完，将利用本项目产生的废石及底泥继续回填平整，剩余容量为7600m</w:t>
            </w:r>
            <w:r>
              <w:rPr>
                <w:rFonts w:hint="eastAsia" w:ascii="Times New Roman"/>
                <w:bCs w:val="0"/>
                <w:color w:val="FF0000"/>
                <w:sz w:val="21"/>
                <w:szCs w:val="21"/>
                <w:highlight w:val="none"/>
                <w:u w:val="none" w:color="000000"/>
                <w:vertAlign w:val="superscript"/>
                <w:lang w:val="en-US" w:eastAsia="zh-CN"/>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p>
        </w:tc>
        <w:tc>
          <w:tcPr>
            <w:tcW w:w="842"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采坑2</w:t>
            </w:r>
          </w:p>
        </w:tc>
        <w:tc>
          <w:tcPr>
            <w:tcW w:w="2712"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yellow"/>
                <w:u w:val="none" w:color="000000"/>
                <w:lang w:val="en-US" w:eastAsia="zh-CN"/>
              </w:rPr>
            </w:pPr>
            <w:r>
              <w:rPr>
                <w:rFonts w:hint="eastAsia" w:ascii="Times New Roman"/>
                <w:bCs w:val="0"/>
                <w:color w:val="FF0000"/>
                <w:sz w:val="21"/>
                <w:szCs w:val="21"/>
                <w:highlight w:val="none"/>
                <w:u w:val="none" w:color="000000"/>
                <w:lang w:val="en-US" w:eastAsia="zh-CN"/>
              </w:rPr>
              <w:t>位于矿区中东部，呈椭圆形，地表面积约为11380m</w:t>
            </w:r>
            <w:r>
              <w:rPr>
                <w:rFonts w:hint="eastAsia"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，长102m，宽112m，采坑深度3-11m，平均深度5m，已形成3780m</w:t>
            </w:r>
            <w:r>
              <w:rPr>
                <w:rFonts w:hint="eastAsia"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采空区，其余区域正在开采中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辅助工程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生活办公设施</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hint="eastAsia" w:ascii="Times New Roman"/>
                <w:bCs w:val="0"/>
                <w:color w:val="FF0000"/>
                <w:sz w:val="21"/>
                <w:szCs w:val="21"/>
                <w:u w:val="none" w:color="000000"/>
                <w:lang w:val="en-US" w:eastAsia="zh-CN"/>
              </w:rPr>
              <w:t>位于矿区西南部，</w:t>
            </w:r>
            <w:r>
              <w:rPr>
                <w:rFonts w:ascii="Times New Roman"/>
                <w:bCs w:val="0"/>
                <w:color w:val="FF0000"/>
                <w:sz w:val="21"/>
                <w:szCs w:val="21"/>
                <w:u w:val="none" w:color="000000"/>
              </w:rPr>
              <w:t>建有生活、办公用房</w:t>
            </w:r>
            <w:r>
              <w:rPr>
                <w:rFonts w:hint="eastAsia" w:ascii="Times New Roman" w:hAnsi="Times New Roman"/>
                <w:bCs w:val="0"/>
                <w:color w:val="FF0000"/>
                <w:sz w:val="21"/>
                <w:szCs w:val="21"/>
                <w:u w:val="none" w:color="000000"/>
                <w:lang w:val="en-US" w:eastAsia="zh-CN"/>
              </w:rPr>
              <w:t>20</w:t>
            </w:r>
            <w:r>
              <w:rPr>
                <w:rFonts w:ascii="Times New Roman" w:hAnsi="Times New Roman"/>
                <w:bCs w:val="0"/>
                <w:color w:val="FF0000"/>
                <w:sz w:val="21"/>
                <w:szCs w:val="21"/>
                <w:u w:val="none" w:color="000000"/>
              </w:rPr>
              <w:t>0m</w:t>
            </w:r>
            <w:r>
              <w:rPr>
                <w:rFonts w:ascii="Times New Roman" w:hAnsi="Times New Roman"/>
                <w:bCs w:val="0"/>
                <w:color w:val="FF0000"/>
                <w:sz w:val="21"/>
                <w:szCs w:val="21"/>
                <w:u w:val="none" w:color="000000"/>
                <w:vertAlign w:val="superscript"/>
              </w:rPr>
              <w:t>2</w:t>
            </w:r>
            <w:r>
              <w:rPr>
                <w:rFonts w:ascii="Times New Roman"/>
                <w:bCs w:val="0"/>
                <w:color w:val="FF0000"/>
                <w:sz w:val="21"/>
                <w:szCs w:val="21"/>
                <w:u w:val="none" w:color="000000"/>
              </w:rPr>
              <w:t>。</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42" w:type="dxa"/>
            <w:vMerge w:val="restart"/>
            <w:tcBorders>
              <w:tl2br w:val="nil"/>
              <w:tr2bl w:val="nil"/>
            </w:tcBorders>
            <w:noWrap w:val="0"/>
            <w:vAlign w:val="center"/>
          </w:tcPr>
          <w:p>
            <w:pPr>
              <w:pStyle w:val="119"/>
              <w:spacing w:line="240" w:lineRule="auto"/>
              <w:ind w:firstLine="0" w:firstLineChars="0"/>
              <w:jc w:val="center"/>
              <w:rPr>
                <w:rFonts w:hint="eastAsia" w:ascii="Times New Roman" w:hAnsi="Times New Roman" w:eastAsia="宋体"/>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公用工程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ascii="Times New Roman"/>
                <w:bCs w:val="0"/>
                <w:color w:val="FF0000"/>
                <w:sz w:val="21"/>
                <w:szCs w:val="21"/>
                <w:u w:val="none" w:color="000000"/>
              </w:rPr>
              <w:t>给水</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ascii="Times New Roman"/>
                <w:bCs w:val="0"/>
                <w:color w:val="FF0000"/>
                <w:sz w:val="21"/>
                <w:szCs w:val="21"/>
                <w:u w:val="none" w:color="000000"/>
              </w:rPr>
              <w:t>本项目矿区建自备水井</w:t>
            </w:r>
            <w:r>
              <w:rPr>
                <w:rFonts w:ascii="Times New Roman" w:hAnsi="Times New Roman"/>
                <w:bCs w:val="0"/>
                <w:color w:val="FF0000"/>
                <w:sz w:val="21"/>
                <w:szCs w:val="21"/>
                <w:u w:val="none" w:color="000000"/>
              </w:rPr>
              <w:t>1</w:t>
            </w:r>
            <w:r>
              <w:rPr>
                <w:rFonts w:ascii="Times New Roman"/>
                <w:bCs w:val="0"/>
                <w:color w:val="FF0000"/>
                <w:sz w:val="21"/>
                <w:szCs w:val="21"/>
                <w:u w:val="none" w:color="000000"/>
              </w:rPr>
              <w:t>眼。</w:t>
            </w:r>
            <w:r>
              <w:rPr>
                <w:rFonts w:hint="eastAsia" w:ascii="Times New Roman"/>
                <w:bCs w:val="0"/>
                <w:color w:val="FF0000"/>
                <w:sz w:val="21"/>
                <w:szCs w:val="21"/>
                <w:u w:val="none" w:color="000000"/>
                <w:lang w:val="en-US" w:eastAsia="zh-CN"/>
              </w:rPr>
              <w:t>供生产和生活用</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bCs w:val="0"/>
                <w:color w:val="FF0000"/>
                <w:sz w:val="21"/>
                <w:szCs w:val="21"/>
                <w:u w:val="none" w:color="000000"/>
                <w:lang w:val="en-US" w:eastAsia="zh-CN"/>
              </w:rPr>
              <w:t>排水</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无生产废水产生，生活污水定期外运至朱日和镇生活污水处理厂进行进一步处置</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无生产废水产生，生活采用旱厕</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无生产废水产生，生活采用旱厕</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ascii="Times New Roman"/>
                <w:bCs w:val="0"/>
                <w:color w:val="FF0000"/>
                <w:sz w:val="21"/>
                <w:szCs w:val="21"/>
                <w:u w:val="none" w:color="000000"/>
              </w:rPr>
              <w:t>供电</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ascii="Times New Roman"/>
                <w:bCs w:val="0"/>
                <w:color w:val="FF0000"/>
                <w:sz w:val="21"/>
                <w:szCs w:val="21"/>
                <w:u w:val="none" w:color="000000"/>
              </w:rPr>
              <w:t>电源来自当地变电站。</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ascii="Times New Roman"/>
                <w:bCs w:val="0"/>
                <w:color w:val="FF0000"/>
                <w:sz w:val="21"/>
                <w:szCs w:val="21"/>
                <w:u w:val="none" w:color="000000"/>
              </w:rPr>
              <w:t>供热</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ascii="Times New Roman"/>
                <w:bCs w:val="0"/>
                <w:color w:val="FF0000"/>
                <w:sz w:val="21"/>
                <w:szCs w:val="21"/>
                <w:u w:val="none" w:color="000000"/>
              </w:rPr>
              <w:t>本项目冬季不生产，不设供暖锅炉。</w:t>
            </w:r>
          </w:p>
        </w:tc>
        <w:tc>
          <w:tcPr>
            <w:tcW w:w="1073" w:type="dxa"/>
            <w:tcBorders>
              <w:tl2br w:val="nil"/>
              <w:tr2bl w:val="nil"/>
            </w:tcBorders>
            <w:noWrap w:val="0"/>
            <w:vAlign w:val="center"/>
          </w:tcPr>
          <w:p>
            <w:pPr>
              <w:pStyle w:val="119"/>
              <w:spacing w:line="240" w:lineRule="auto"/>
              <w:ind w:firstLine="0" w:firstLineChars="0"/>
              <w:jc w:val="center"/>
              <w:rPr>
                <w:rFonts w:ascii="Times New Roman"/>
                <w:b/>
                <w:bCs/>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restart"/>
            <w:tcBorders>
              <w:tl2br w:val="nil"/>
              <w:tr2bl w:val="nil"/>
            </w:tcBorders>
            <w:noWrap w:val="0"/>
            <w:vAlign w:val="center"/>
          </w:tcPr>
          <w:p>
            <w:pPr>
              <w:pStyle w:val="119"/>
              <w:spacing w:line="240" w:lineRule="auto"/>
              <w:ind w:firstLine="0" w:firstLineChars="0"/>
              <w:jc w:val="center"/>
              <w:rPr>
                <w:rFonts w:hint="eastAsia" w:ascii="Times New Roman" w:hAnsi="Times New Roman" w:eastAsia="宋体"/>
                <w:bCs w:val="0"/>
                <w:color w:val="FF0000"/>
                <w:sz w:val="21"/>
                <w:szCs w:val="21"/>
                <w:u w:val="none" w:color="000000"/>
                <w:lang w:eastAsia="zh-CN"/>
              </w:rPr>
            </w:pPr>
            <w:r>
              <w:rPr>
                <w:rFonts w:hint="eastAsia" w:ascii="Times New Roman"/>
                <w:bCs w:val="0"/>
                <w:color w:val="FF0000"/>
                <w:sz w:val="21"/>
                <w:szCs w:val="21"/>
                <w:u w:val="none" w:color="000000"/>
                <w:lang w:val="en-US" w:eastAsia="zh-CN"/>
              </w:rPr>
              <w:t>储运工程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道路</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矿区东距</w:t>
            </w:r>
            <w:r>
              <w:rPr>
                <w:rFonts w:ascii="Times New Roman" w:hAnsi="Times New Roman"/>
                <w:bCs w:val="0"/>
                <w:color w:val="FF0000"/>
                <w:sz w:val="21"/>
                <w:szCs w:val="21"/>
                <w:u w:val="none" w:color="000000"/>
              </w:rPr>
              <w:t>G208</w:t>
            </w:r>
            <w:r>
              <w:rPr>
                <w:rFonts w:ascii="Times New Roman"/>
                <w:bCs w:val="0"/>
                <w:color w:val="FF0000"/>
                <w:sz w:val="21"/>
                <w:szCs w:val="21"/>
                <w:u w:val="none" w:color="000000"/>
              </w:rPr>
              <w:t>国道约</w:t>
            </w:r>
            <w:r>
              <w:rPr>
                <w:rFonts w:ascii="Times New Roman" w:hAnsi="Times New Roman"/>
                <w:bCs w:val="0"/>
                <w:color w:val="FF0000"/>
                <w:sz w:val="21"/>
                <w:szCs w:val="21"/>
                <w:u w:val="none" w:color="000000"/>
              </w:rPr>
              <w:t>3km</w:t>
            </w:r>
            <w:r>
              <w:rPr>
                <w:rFonts w:ascii="Times New Roman"/>
                <w:bCs w:val="0"/>
                <w:color w:val="FF0000"/>
                <w:sz w:val="21"/>
                <w:szCs w:val="21"/>
                <w:u w:val="none" w:color="000000"/>
              </w:rPr>
              <w:t>，距朱日和镇约</w:t>
            </w:r>
            <w:r>
              <w:rPr>
                <w:rFonts w:ascii="Times New Roman" w:hAnsi="Times New Roman"/>
                <w:bCs w:val="0"/>
                <w:color w:val="FF0000"/>
                <w:sz w:val="21"/>
                <w:szCs w:val="21"/>
                <w:u w:val="none" w:color="000000"/>
              </w:rPr>
              <w:t>8km</w:t>
            </w:r>
            <w:r>
              <w:rPr>
                <w:rFonts w:ascii="Times New Roman"/>
                <w:bCs w:val="0"/>
                <w:color w:val="FF0000"/>
                <w:sz w:val="21"/>
                <w:szCs w:val="21"/>
                <w:u w:val="none" w:color="000000"/>
              </w:rPr>
              <w:t>。</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vMerge w:val="restart"/>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料堆</w:t>
            </w:r>
          </w:p>
        </w:tc>
        <w:tc>
          <w:tcPr>
            <w:tcW w:w="271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料堆有</w:t>
            </w:r>
            <w:r>
              <w:rPr>
                <w:rFonts w:hint="default" w:ascii="Times New Roman" w:hAnsi="Times New Roman"/>
                <w:bCs w:val="0"/>
                <w:color w:val="FF0000"/>
                <w:sz w:val="21"/>
                <w:szCs w:val="21"/>
                <w:u w:val="none" w:color="000000"/>
                <w:lang w:val="en-US" w:eastAsia="zh-CN"/>
              </w:rPr>
              <w:t>2</w:t>
            </w:r>
            <w:r>
              <w:rPr>
                <w:rFonts w:hint="eastAsia" w:ascii="Times New Roman" w:hAnsi="Times New Roman"/>
                <w:bCs w:val="0"/>
                <w:color w:val="FF0000"/>
                <w:sz w:val="21"/>
                <w:szCs w:val="21"/>
                <w:u w:val="none" w:color="000000"/>
                <w:lang w:val="en-US" w:eastAsia="zh-CN"/>
              </w:rPr>
              <w:t>处，料堆</w:t>
            </w:r>
            <w:r>
              <w:rPr>
                <w:rFonts w:hint="default" w:ascii="Times New Roman" w:hAnsi="Times New Roman"/>
                <w:bCs w:val="0"/>
                <w:color w:val="FF0000"/>
                <w:sz w:val="21"/>
                <w:szCs w:val="21"/>
                <w:u w:val="none" w:color="000000"/>
                <w:lang w:val="en-US" w:eastAsia="zh-CN"/>
              </w:rPr>
              <w:t>1</w:t>
            </w:r>
            <w:r>
              <w:rPr>
                <w:rFonts w:hint="eastAsia" w:ascii="Times New Roman" w:hAnsi="Times New Roman"/>
                <w:bCs w:val="0"/>
                <w:color w:val="FF0000"/>
                <w:sz w:val="21"/>
                <w:szCs w:val="21"/>
                <w:u w:val="none" w:color="000000"/>
                <w:lang w:val="en-US" w:eastAsia="zh-CN"/>
              </w:rPr>
              <w:t>位于采坑</w:t>
            </w:r>
            <w:r>
              <w:rPr>
                <w:rFonts w:hint="default" w:ascii="Times New Roman" w:hAnsi="Times New Roman"/>
                <w:bCs w:val="0"/>
                <w:color w:val="FF0000"/>
                <w:sz w:val="21"/>
                <w:szCs w:val="21"/>
                <w:u w:val="none" w:color="000000"/>
                <w:lang w:val="en-US" w:eastAsia="zh-CN"/>
              </w:rPr>
              <w:t>1</w:t>
            </w:r>
            <w:r>
              <w:rPr>
                <w:rFonts w:hint="eastAsia" w:ascii="Times New Roman" w:hAnsi="Times New Roman"/>
                <w:bCs w:val="0"/>
                <w:color w:val="FF0000"/>
                <w:sz w:val="21"/>
                <w:szCs w:val="21"/>
                <w:u w:val="none" w:color="000000"/>
                <w:lang w:val="en-US" w:eastAsia="zh-CN"/>
              </w:rPr>
              <w:t>内西部，面积</w:t>
            </w:r>
            <w:r>
              <w:rPr>
                <w:rFonts w:hint="default" w:ascii="Times New Roman" w:hAnsi="Times New Roman"/>
                <w:bCs w:val="0"/>
                <w:color w:val="FF0000"/>
                <w:sz w:val="21"/>
                <w:szCs w:val="21"/>
                <w:u w:val="none" w:color="000000"/>
                <w:lang w:val="en-US" w:eastAsia="zh-CN"/>
              </w:rPr>
              <w:t>5786m</w:t>
            </w:r>
            <w:r>
              <w:rPr>
                <w:rFonts w:hint="default"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，长</w:t>
            </w:r>
            <w:r>
              <w:rPr>
                <w:rFonts w:hint="default" w:ascii="Times New Roman" w:hAnsi="Times New Roman"/>
                <w:bCs w:val="0"/>
                <w:color w:val="FF0000"/>
                <w:sz w:val="21"/>
                <w:szCs w:val="21"/>
                <w:u w:val="none" w:color="000000"/>
                <w:lang w:val="en-US" w:eastAsia="zh-CN"/>
              </w:rPr>
              <w:t>112m</w:t>
            </w:r>
            <w:r>
              <w:rPr>
                <w:rFonts w:hint="eastAsia" w:ascii="Times New Roman" w:hAnsi="Times New Roman"/>
                <w:bCs w:val="0"/>
                <w:color w:val="FF0000"/>
                <w:sz w:val="21"/>
                <w:szCs w:val="21"/>
                <w:u w:val="none" w:color="000000"/>
                <w:lang w:val="en-US" w:eastAsia="zh-CN"/>
              </w:rPr>
              <w:t>，宽</w:t>
            </w:r>
            <w:r>
              <w:rPr>
                <w:rFonts w:hint="default" w:ascii="Times New Roman" w:hAnsi="Times New Roman"/>
                <w:bCs w:val="0"/>
                <w:color w:val="FF0000"/>
                <w:sz w:val="21"/>
                <w:szCs w:val="21"/>
                <w:u w:val="none" w:color="000000"/>
                <w:lang w:val="en-US" w:eastAsia="zh-CN"/>
              </w:rPr>
              <w:t>70m</w:t>
            </w:r>
            <w:r>
              <w:rPr>
                <w:rFonts w:hint="eastAsia" w:ascii="Times New Roman" w:hAnsi="Times New Roman"/>
                <w:bCs w:val="0"/>
                <w:color w:val="FF0000"/>
                <w:sz w:val="21"/>
                <w:szCs w:val="21"/>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现状已完成平整、覆土、绿化。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exac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料堆</w:t>
            </w:r>
            <w:r>
              <w:rPr>
                <w:rFonts w:hint="default" w:ascii="Times New Roman" w:hAnsi="Times New Roman"/>
                <w:bCs w:val="0"/>
                <w:color w:val="FF0000"/>
                <w:sz w:val="21"/>
                <w:szCs w:val="21"/>
                <w:u w:val="none" w:color="000000"/>
                <w:lang w:val="en-US" w:eastAsia="zh-CN"/>
              </w:rPr>
              <w:t>2</w:t>
            </w:r>
            <w:r>
              <w:rPr>
                <w:rFonts w:hint="eastAsia" w:ascii="Times New Roman" w:hAnsi="Times New Roman"/>
                <w:bCs w:val="0"/>
                <w:color w:val="FF0000"/>
                <w:sz w:val="21"/>
                <w:szCs w:val="21"/>
                <w:u w:val="none" w:color="000000"/>
                <w:lang w:val="en-US" w:eastAsia="zh-CN"/>
              </w:rPr>
              <w:t>位于采坑2，面积</w:t>
            </w:r>
            <w:r>
              <w:rPr>
                <w:rFonts w:hint="default" w:ascii="Times New Roman" w:hAnsi="Times New Roman"/>
                <w:bCs w:val="0"/>
                <w:color w:val="FF0000"/>
                <w:sz w:val="21"/>
                <w:szCs w:val="21"/>
                <w:u w:val="none" w:color="000000"/>
                <w:lang w:val="en-US" w:eastAsia="zh-CN"/>
              </w:rPr>
              <w:t>8</w:t>
            </w:r>
            <w:r>
              <w:rPr>
                <w:rFonts w:hint="eastAsia" w:ascii="Times New Roman" w:hAnsi="Times New Roman"/>
                <w:bCs w:val="0"/>
                <w:color w:val="FF0000"/>
                <w:sz w:val="21"/>
                <w:szCs w:val="21"/>
                <w:u w:val="none" w:color="000000"/>
                <w:lang w:val="en-US" w:eastAsia="zh-CN"/>
              </w:rPr>
              <w:t>06</w:t>
            </w:r>
            <w:r>
              <w:rPr>
                <w:rFonts w:hint="default" w:ascii="Times New Roman" w:hAnsi="Times New Roman"/>
                <w:bCs w:val="0"/>
                <w:color w:val="FF0000"/>
                <w:sz w:val="21"/>
                <w:szCs w:val="21"/>
                <w:u w:val="none" w:color="000000"/>
                <w:lang w:val="en-US" w:eastAsia="zh-CN"/>
              </w:rPr>
              <w:t>m</w:t>
            </w:r>
            <w:r>
              <w:rPr>
                <w:rFonts w:hint="default"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，长</w:t>
            </w:r>
            <w:r>
              <w:rPr>
                <w:rFonts w:hint="default" w:ascii="Times New Roman" w:hAnsi="Times New Roman"/>
                <w:bCs w:val="0"/>
                <w:color w:val="FF0000"/>
                <w:sz w:val="21"/>
                <w:szCs w:val="21"/>
                <w:u w:val="none" w:color="000000"/>
                <w:lang w:val="en-US" w:eastAsia="zh-CN"/>
              </w:rPr>
              <w:t>37m</w:t>
            </w:r>
            <w:r>
              <w:rPr>
                <w:rFonts w:hint="eastAsia" w:ascii="Times New Roman" w:hAnsi="Times New Roman"/>
                <w:bCs w:val="0"/>
                <w:color w:val="FF0000"/>
                <w:sz w:val="21"/>
                <w:szCs w:val="21"/>
                <w:u w:val="none" w:color="000000"/>
                <w:lang w:val="en-US" w:eastAsia="zh-CN"/>
              </w:rPr>
              <w:t>，宽</w:t>
            </w:r>
            <w:r>
              <w:rPr>
                <w:rFonts w:hint="default" w:ascii="Times New Roman" w:hAnsi="Times New Roman"/>
                <w:bCs w:val="0"/>
                <w:color w:val="FF0000"/>
                <w:sz w:val="21"/>
                <w:szCs w:val="21"/>
                <w:u w:val="none" w:color="000000"/>
                <w:lang w:val="en-US" w:eastAsia="zh-CN"/>
              </w:rPr>
              <w:t>25m</w:t>
            </w:r>
            <w:r>
              <w:rPr>
                <w:rFonts w:hint="eastAsia" w:ascii="Times New Roman" w:hAnsi="Times New Roman"/>
                <w:bCs w:val="0"/>
                <w:color w:val="FF0000"/>
                <w:sz w:val="21"/>
                <w:szCs w:val="21"/>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正在使用中，主要用于存放采矿采出的原砂，采用雾炮抑尘，不长期存放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表土场</w:t>
            </w:r>
          </w:p>
        </w:tc>
        <w:tc>
          <w:tcPr>
            <w:tcW w:w="271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位于采坑1内，面积911m</w:t>
            </w:r>
            <w:r>
              <w:rPr>
                <w:rFonts w:hint="eastAsia"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，长37m，宽30m，高度5m，堆放量3644m</w:t>
            </w:r>
            <w:r>
              <w:rPr>
                <w:rFonts w:hint="eastAsia" w:ascii="Times New Roman" w:hAnsi="Times New Roman"/>
                <w:bCs w:val="0"/>
                <w:color w:val="FF0000"/>
                <w:sz w:val="21"/>
                <w:szCs w:val="21"/>
                <w:u w:val="none" w:color="000000"/>
                <w:vertAlign w:val="superscript"/>
                <w:lang w:val="en-US" w:eastAsia="zh-CN"/>
              </w:rPr>
              <w:t>3</w:t>
            </w:r>
            <w:r>
              <w:rPr>
                <w:rFonts w:hint="eastAsia" w:ascii="Times New Roman" w:hAnsi="Times New Roman"/>
                <w:bCs w:val="0"/>
                <w:color w:val="FF0000"/>
                <w:sz w:val="21"/>
                <w:szCs w:val="21"/>
                <w:u w:val="none" w:color="000000"/>
                <w:lang w:val="en-US" w:eastAsia="zh-CN"/>
              </w:rPr>
              <w:t>。主要用于表土堆放</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表土场表土已全部用于采坑及其他恢复区覆土，表土场现状已完成平整、覆土、绿化，本项目将于</w:t>
            </w:r>
            <w:r>
              <w:rPr>
                <w:rFonts w:hint="eastAsia" w:eastAsia="宋体"/>
                <w:color w:val="FF0000"/>
                <w:sz w:val="21"/>
                <w:szCs w:val="21"/>
                <w:highlight w:val="none"/>
                <w:lang w:val="en-US" w:eastAsia="zh-CN"/>
              </w:rPr>
              <w:t>工业场地西部</w:t>
            </w:r>
            <w:r>
              <w:rPr>
                <w:rFonts w:hint="eastAsia"/>
                <w:color w:val="FF0000"/>
                <w:sz w:val="21"/>
                <w:szCs w:val="21"/>
                <w:highlight w:val="none"/>
                <w:lang w:val="en-US" w:eastAsia="zh-CN"/>
              </w:rPr>
              <w:t>新设2000m</w:t>
            </w:r>
            <w:r>
              <w:rPr>
                <w:rFonts w:hint="eastAsia"/>
                <w:color w:val="FF0000"/>
                <w:sz w:val="21"/>
                <w:szCs w:val="21"/>
                <w:highlight w:val="none"/>
                <w:vertAlign w:val="superscript"/>
                <w:lang w:val="en-US" w:eastAsia="zh-CN"/>
              </w:rPr>
              <w:t>2</w:t>
            </w:r>
            <w:r>
              <w:rPr>
                <w:rFonts w:hint="eastAsia"/>
                <w:color w:val="FF0000"/>
                <w:sz w:val="21"/>
                <w:szCs w:val="21"/>
                <w:highlight w:val="none"/>
                <w:lang w:val="en-US" w:eastAsia="zh-CN"/>
              </w:rPr>
              <w:t>表土堆场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排土场</w:t>
            </w:r>
          </w:p>
        </w:tc>
        <w:tc>
          <w:tcPr>
            <w:tcW w:w="271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位于采坑1范围内，面积2362m</w:t>
            </w:r>
            <w:r>
              <w:rPr>
                <w:rFonts w:hint="eastAsia"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 xml:space="preserve"> ，长75m，宽42m，高度5m，堆放量9448m</w:t>
            </w:r>
            <w:r>
              <w:rPr>
                <w:rFonts w:hint="eastAsia" w:ascii="Times New Roman" w:hAnsi="Times New Roman"/>
                <w:bCs w:val="0"/>
                <w:color w:val="FF0000"/>
                <w:sz w:val="21"/>
                <w:szCs w:val="21"/>
                <w:u w:val="none" w:color="000000"/>
                <w:vertAlign w:val="superscript"/>
                <w:lang w:val="en-US" w:eastAsia="zh-CN"/>
              </w:rPr>
              <w:t>3</w:t>
            </w:r>
            <w:r>
              <w:rPr>
                <w:rFonts w:hint="eastAsia" w:ascii="Times New Roman" w:hAnsi="Times New Roman"/>
                <w:bCs w:val="0"/>
                <w:color w:val="FF0000"/>
                <w:sz w:val="21"/>
                <w:szCs w:val="21"/>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排土场弃土已全部用于回填采坑1，现状已完成平整、覆土、绿化。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环保工程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废气、生态治理</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防治扬尘设施，覆土恢复植被，水土保持等。</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采区设雾炮机1台，配套洒水车1辆用于道路及其他区域洒水抑尘</w:t>
            </w:r>
          </w:p>
        </w:tc>
      </w:tr>
    </w:tbl>
    <w:p>
      <w:pPr>
        <w:pStyle w:val="119"/>
        <w:spacing w:line="240" w:lineRule="auto"/>
        <w:ind w:firstLine="0" w:firstLineChars="0"/>
        <w:jc w:val="center"/>
        <w:rPr>
          <w:rFonts w:ascii="Times New Roman" w:hAnsi="Times New Roman"/>
          <w:sz w:val="21"/>
          <w:szCs w:val="21"/>
          <w:u w:val="none" w:color="000000"/>
        </w:rPr>
      </w:pPr>
      <w:r>
        <w:rPr>
          <w:rFonts w:ascii="Times New Roman"/>
          <w:b/>
          <w:bCs w:val="0"/>
          <w:sz w:val="21"/>
          <w:szCs w:val="21"/>
          <w:u w:val="none" w:color="000000"/>
        </w:rPr>
        <w:t>表</w:t>
      </w:r>
      <w:r>
        <w:rPr>
          <w:rFonts w:hint="eastAsia" w:ascii="Times New Roman" w:hAnsi="Times New Roman"/>
          <w:b/>
          <w:bCs w:val="0"/>
          <w:sz w:val="21"/>
          <w:szCs w:val="21"/>
          <w:u w:val="none" w:color="000000"/>
          <w:lang w:val="en-US" w:eastAsia="zh-CN"/>
        </w:rPr>
        <w:t>3.1-2</w:t>
      </w:r>
      <w:r>
        <w:rPr>
          <w:rFonts w:ascii="Times New Roman" w:hAnsi="Times New Roman"/>
          <w:b/>
          <w:bCs w:val="0"/>
          <w:sz w:val="21"/>
          <w:szCs w:val="21"/>
          <w:u w:val="none" w:color="000000"/>
        </w:rPr>
        <w:t xml:space="preserve"> </w:t>
      </w:r>
      <w:r>
        <w:rPr>
          <w:rFonts w:hint="eastAsia" w:ascii="Times New Roman"/>
          <w:b/>
          <w:bCs w:val="0"/>
          <w:sz w:val="21"/>
          <w:szCs w:val="21"/>
          <w:u w:val="none" w:color="000000"/>
          <w:lang w:val="en-US" w:eastAsia="zh-CN"/>
        </w:rPr>
        <w:t>主要</w:t>
      </w:r>
      <w:r>
        <w:rPr>
          <w:rFonts w:ascii="Times New Roman"/>
          <w:b/>
          <w:bCs w:val="0"/>
          <w:sz w:val="21"/>
          <w:szCs w:val="21"/>
          <w:u w:val="none" w:color="000000"/>
        </w:rPr>
        <w:t>设备</w:t>
      </w:r>
      <w:r>
        <w:rPr>
          <w:rFonts w:hint="eastAsia" w:ascii="Times New Roman"/>
          <w:b/>
          <w:bCs w:val="0"/>
          <w:sz w:val="21"/>
          <w:szCs w:val="21"/>
          <w:u w:val="none" w:color="000000"/>
          <w:lang w:val="en-US" w:eastAsia="zh-CN"/>
        </w:rPr>
        <w:t>一览</w:t>
      </w:r>
      <w:r>
        <w:rPr>
          <w:rFonts w:ascii="Times New Roman"/>
          <w:b/>
          <w:bCs w:val="0"/>
          <w:sz w:val="21"/>
          <w:szCs w:val="21"/>
          <w:u w:val="none" w:color="000000"/>
        </w:rPr>
        <w:t>表</w:t>
      </w:r>
    </w:p>
    <w:tbl>
      <w:tblPr>
        <w:tblStyle w:val="35"/>
        <w:tblW w:w="836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712"/>
        <w:gridCol w:w="1223"/>
        <w:gridCol w:w="280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序号</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设备名称</w:t>
            </w:r>
          </w:p>
        </w:tc>
        <w:tc>
          <w:tcPr>
            <w:tcW w:w="1223"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型号</w:t>
            </w:r>
          </w:p>
        </w:tc>
        <w:tc>
          <w:tcPr>
            <w:tcW w:w="280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1</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挖掘机</w:t>
            </w:r>
          </w:p>
        </w:tc>
        <w:tc>
          <w:tcPr>
            <w:tcW w:w="1223"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PC300</w:t>
            </w:r>
          </w:p>
        </w:tc>
        <w:tc>
          <w:tcPr>
            <w:tcW w:w="2802" w:type="dxa"/>
            <w:noWrap w:val="0"/>
            <w:vAlign w:val="center"/>
          </w:tcPr>
          <w:p>
            <w:pPr>
              <w:pStyle w:val="120"/>
              <w:widowControl w:val="0"/>
              <w:spacing w:line="240" w:lineRule="auto"/>
              <w:ind w:firstLine="0" w:firstLineChars="0"/>
              <w:jc w:val="center"/>
              <w:rPr>
                <w:rFonts w:hint="eastAsia" w:eastAsia="宋体"/>
                <w:color w:val="FF0000"/>
                <w:sz w:val="21"/>
                <w:szCs w:val="21"/>
                <w:lang w:val="en-US" w:eastAsia="zh-CN"/>
              </w:rPr>
            </w:pPr>
            <w:r>
              <w:rPr>
                <w:color w:val="FF0000"/>
                <w:sz w:val="21"/>
                <w:szCs w:val="21"/>
              </w:rPr>
              <w:t>1</w:t>
            </w:r>
            <w:r>
              <w:rPr>
                <w:rFonts w:hint="eastAsia"/>
                <w:color w:val="FF0000"/>
                <w:sz w:val="21"/>
                <w:szCs w:val="21"/>
                <w:lang w:val="en-US" w:eastAsia="zh-CN"/>
              </w:rPr>
              <w:t>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2</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自卸汽车</w:t>
            </w:r>
          </w:p>
        </w:tc>
        <w:tc>
          <w:tcPr>
            <w:tcW w:w="1223"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5T</w:t>
            </w:r>
          </w:p>
        </w:tc>
        <w:tc>
          <w:tcPr>
            <w:tcW w:w="2802" w:type="dxa"/>
            <w:noWrap w:val="0"/>
            <w:vAlign w:val="center"/>
          </w:tcPr>
          <w:p>
            <w:pPr>
              <w:pStyle w:val="120"/>
              <w:widowControl w:val="0"/>
              <w:spacing w:line="240" w:lineRule="auto"/>
              <w:ind w:firstLine="0" w:firstLineChars="0"/>
              <w:jc w:val="center"/>
              <w:rPr>
                <w:rFonts w:hint="eastAsia" w:eastAsia="宋体"/>
                <w:color w:val="FF0000"/>
                <w:sz w:val="21"/>
                <w:szCs w:val="21"/>
                <w:lang w:val="en-US" w:eastAsia="zh-CN"/>
              </w:rPr>
            </w:pPr>
            <w:r>
              <w:rPr>
                <w:color w:val="FF0000"/>
                <w:sz w:val="21"/>
                <w:szCs w:val="21"/>
              </w:rPr>
              <w:t>3</w:t>
            </w:r>
            <w:r>
              <w:rPr>
                <w:rFonts w:hint="eastAsia"/>
                <w:color w:val="FF0000"/>
                <w:sz w:val="21"/>
                <w:szCs w:val="21"/>
                <w:lang w:val="en-US" w:eastAsia="zh-CN"/>
              </w:rPr>
              <w:t>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3</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装载机</w:t>
            </w:r>
          </w:p>
        </w:tc>
        <w:tc>
          <w:tcPr>
            <w:tcW w:w="1223"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CLG856</w:t>
            </w:r>
          </w:p>
        </w:tc>
        <w:tc>
          <w:tcPr>
            <w:tcW w:w="2802" w:type="dxa"/>
            <w:noWrap w:val="0"/>
            <w:vAlign w:val="center"/>
          </w:tcPr>
          <w:p>
            <w:pPr>
              <w:pStyle w:val="120"/>
              <w:widowControl w:val="0"/>
              <w:spacing w:line="240" w:lineRule="auto"/>
              <w:ind w:firstLine="0" w:firstLineChars="0"/>
              <w:jc w:val="center"/>
              <w:rPr>
                <w:rFonts w:hint="eastAsia" w:eastAsia="宋体"/>
                <w:color w:val="FF0000"/>
                <w:sz w:val="21"/>
                <w:szCs w:val="21"/>
                <w:lang w:val="en-US" w:eastAsia="zh-CN"/>
              </w:rPr>
            </w:pPr>
            <w:r>
              <w:rPr>
                <w:color w:val="FF0000"/>
                <w:sz w:val="21"/>
                <w:szCs w:val="21"/>
              </w:rPr>
              <w:t>1</w:t>
            </w:r>
            <w:r>
              <w:rPr>
                <w:rFonts w:hint="eastAsia"/>
                <w:color w:val="FF0000"/>
                <w:sz w:val="21"/>
                <w:szCs w:val="21"/>
                <w:lang w:val="en-US" w:eastAsia="zh-CN"/>
              </w:rPr>
              <w:t>台</w:t>
            </w: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cs="Times New Roman"/>
          <w:b/>
          <w:bCs w:val="0"/>
          <w:color w:val="auto"/>
          <w:sz w:val="30"/>
          <w:highlight w:val="none"/>
          <w:lang w:val="en-US" w:eastAsia="zh-CN"/>
        </w:rPr>
      </w:pPr>
      <w:bookmarkStart w:id="86" w:name="_Toc18836"/>
      <w:r>
        <w:rPr>
          <w:rFonts w:ascii="Times New Roman" w:hAnsi="Times New Roman" w:eastAsia="宋体" w:cs="Times New Roman"/>
          <w:b/>
          <w:bCs w:val="0"/>
          <w:color w:val="auto"/>
          <w:sz w:val="30"/>
          <w:highlight w:val="none"/>
        </w:rPr>
        <w:t>3.1.</w:t>
      </w:r>
      <w:r>
        <w:rPr>
          <w:rFonts w:hint="eastAsia" w:ascii="Times New Roman" w:hAnsi="Times New Roman" w:eastAsia="宋体" w:cs="Times New Roman"/>
          <w:b/>
          <w:bCs w:val="0"/>
          <w:color w:val="auto"/>
          <w:sz w:val="30"/>
          <w:highlight w:val="none"/>
          <w:lang w:val="en-US" w:eastAsia="zh-CN"/>
        </w:rPr>
        <w:t>4</w:t>
      </w:r>
      <w:r>
        <w:rPr>
          <w:rFonts w:hint="eastAsia" w:ascii="Times New Roman" w:hAnsi="Times New Roman" w:eastAsia="宋体" w:cs="Times New Roman"/>
          <w:b/>
          <w:bCs w:val="0"/>
          <w:color w:val="auto"/>
          <w:sz w:val="30"/>
          <w:highlight w:val="none"/>
        </w:rPr>
        <w:t>矿山工作制度、设计生产能力和服务年限</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（1）矿山工作制度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矿山生产采用间断工作制，矿山年工作天数150 天，每天1班，每班8小时。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劳动定员：矿山全部人员12 人，其中：生产工人9 人，安全员1 人，管理及服务人员2 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（2）矿山生产能力及服务年限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①设计生产能力</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矿山设计生产能力2万m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按矿山实际开采量2万m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 计算，矿山日平均采矿量133m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，按日一班工作制，班平均采矿量133m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②矿山服务年限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原有矿山设计确定可采储量42.39万m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，按2万m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 生产规模计算：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P＝Q/A=42.39万/2万=21</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式中：P—矿山服务年限；21a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Q—矿山可采储量；m</w:t>
      </w:r>
      <w:r>
        <w:rPr>
          <w:rFonts w:hint="eastAsia" w:ascii="Times New Roman" w:hAnsi="Times New Roman" w:eastAsia="宋体" w:cs="Times New Roman"/>
          <w:color w:val="auto"/>
          <w:highlight w:val="none"/>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A—矿山生产规模；m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矿山设计资源量可供矿山开采21a，已开采6年，现有矿山剩余开采年限为15年。</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cs="Times New Roman"/>
          <w:b/>
          <w:bCs w:val="0"/>
          <w:color w:val="auto"/>
          <w:sz w:val="28"/>
          <w:szCs w:val="28"/>
          <w:highlight w:val="none"/>
          <w:lang w:val="en-US" w:eastAsia="zh-CN"/>
        </w:rPr>
      </w:pPr>
      <w:bookmarkStart w:id="87" w:name="_Toc21123"/>
      <w:r>
        <w:rPr>
          <w:rFonts w:hint="eastAsia" w:ascii="Times New Roman" w:hAnsi="Times New Roman" w:eastAsia="宋体" w:cs="Times New Roman"/>
          <w:b/>
          <w:bCs w:val="0"/>
          <w:color w:val="auto"/>
          <w:sz w:val="28"/>
          <w:szCs w:val="28"/>
          <w:highlight w:val="none"/>
          <w:lang w:val="en-US" w:eastAsia="zh-CN"/>
        </w:rPr>
        <w:t>3.1.5 现有项目工艺流程及产污环节分析</w:t>
      </w:r>
      <w:bookmarkEnd w:id="87"/>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3.1.5.1生产工艺流程</w:t>
      </w:r>
    </w:p>
    <w:p>
      <w:pPr>
        <w:pStyle w:val="20"/>
        <w:spacing w:after="0" w:line="360" w:lineRule="auto"/>
        <w:ind w:left="0" w:leftChars="0" w:firstLine="480" w:firstLineChars="200"/>
        <w:rPr>
          <w:rFonts w:ascii="Times New Roman" w:hAnsi="Times New Roman" w:eastAsia="宋体"/>
          <w:color w:val="000000"/>
          <w:sz w:val="24"/>
          <w:szCs w:val="24"/>
        </w:rPr>
      </w:pPr>
      <w:r>
        <w:rPr>
          <w:rFonts w:ascii="Times New Roman" w:hAnsi="宋体" w:eastAsia="宋体"/>
          <w:color w:val="000000"/>
          <w:sz w:val="24"/>
          <w:szCs w:val="24"/>
        </w:rPr>
        <w:t>项目生产工艺主要分为表土剥离、露天开采及运输外售，工艺过程简述如下：</w:t>
      </w:r>
    </w:p>
    <w:p>
      <w:pPr>
        <w:pStyle w:val="20"/>
        <w:spacing w:after="0" w:line="360" w:lineRule="auto"/>
        <w:ind w:left="0" w:leftChars="0" w:firstLine="480" w:firstLineChars="200"/>
        <w:rPr>
          <w:rFonts w:ascii="Times New Roman" w:hAnsi="Times New Roman" w:eastAsia="宋体"/>
          <w:color w:val="000000"/>
          <w:sz w:val="24"/>
          <w:szCs w:val="24"/>
        </w:rPr>
      </w:pPr>
      <w:r>
        <w:rPr>
          <w:rFonts w:ascii="Times New Roman" w:hAnsi="宋体" w:eastAsia="宋体"/>
          <w:color w:val="000000"/>
          <w:sz w:val="24"/>
          <w:szCs w:val="24"/>
        </w:rPr>
        <w:t>砂场矿体上部为土层，厚度约为</w:t>
      </w:r>
      <w:r>
        <w:rPr>
          <w:rFonts w:ascii="Times New Roman" w:hAnsi="Times New Roman" w:eastAsia="宋体"/>
          <w:color w:val="000000"/>
          <w:sz w:val="24"/>
          <w:szCs w:val="24"/>
        </w:rPr>
        <w:t>0.3m</w:t>
      </w:r>
      <w:r>
        <w:rPr>
          <w:rFonts w:ascii="Times New Roman" w:hAnsi="宋体" w:eastAsia="宋体"/>
          <w:color w:val="000000"/>
          <w:sz w:val="24"/>
          <w:szCs w:val="24"/>
        </w:rPr>
        <w:t>，剥离土层后即见矿体。开采工艺为直进式开拓，在砂层直接挖掘。采矿方法采用推土机及装载机等机械采砂。</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s="Times New Roman"/>
          <w:color w:val="auto"/>
          <w:highlight w:val="none"/>
          <w:lang w:val="en-US" w:eastAsia="zh-CN"/>
        </w:rPr>
      </w:pPr>
      <w:r>
        <w:rPr>
          <w:rFonts w:ascii="Times New Roman" w:hAnsi="Times New Roman" w:eastAsia="宋体"/>
          <w:sz w:val="24"/>
        </w:rPr>
        <mc:AlternateContent>
          <mc:Choice Requires="wpc">
            <w:drawing>
              <wp:inline distT="0" distB="0" distL="114300" distR="114300">
                <wp:extent cx="5359400" cy="1200785"/>
                <wp:effectExtent l="0" t="5080" r="0" b="0"/>
                <wp:docPr id="70" name="画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矩形 57"/>
                        <wps:cNvSpPr/>
                        <wps:spPr>
                          <a:xfrm>
                            <a:off x="2091690" y="633095"/>
                            <a:ext cx="1029335" cy="327660"/>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ascii="宋体" w:hAnsi="宋体" w:eastAsia="宋体"/>
                                </w:rPr>
                              </w:pPr>
                              <w:r>
                                <w:rPr>
                                  <w:rFonts w:hint="eastAsia" w:ascii="宋体" w:hAnsi="宋体" w:eastAsia="宋体"/>
                                </w:rPr>
                                <w:t>露天开采</w:t>
                              </w:r>
                            </w:p>
                          </w:txbxContent>
                        </wps:txbx>
                        <wps:bodyPr upright="1"/>
                      </wps:wsp>
                      <wps:wsp>
                        <wps:cNvPr id="58" name="直接连接符 58"/>
                        <wps:cNvCnPr/>
                        <wps:spPr>
                          <a:xfrm>
                            <a:off x="1294130" y="807720"/>
                            <a:ext cx="768350" cy="635"/>
                          </a:xfrm>
                          <a:prstGeom prst="line">
                            <a:avLst/>
                          </a:prstGeom>
                          <a:ln w="9525" cap="flat" cmpd="sng">
                            <a:solidFill>
                              <a:srgbClr val="000000"/>
                            </a:solidFill>
                            <a:prstDash val="solid"/>
                            <a:headEnd type="none" w="med" len="med"/>
                            <a:tailEnd type="triangle" w="med" len="med"/>
                          </a:ln>
                        </wps:spPr>
                        <wps:bodyPr upright="1"/>
                      </wps:wsp>
                      <wps:wsp>
                        <wps:cNvPr id="59" name="矩形 59"/>
                        <wps:cNvSpPr/>
                        <wps:spPr>
                          <a:xfrm>
                            <a:off x="3888740" y="624840"/>
                            <a:ext cx="1029335" cy="34226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ascii="宋体" w:hAnsi="宋体" w:eastAsia="宋体"/>
                                </w:rPr>
                              </w:pPr>
                              <w:r>
                                <w:rPr>
                                  <w:rFonts w:hint="eastAsia" w:ascii="宋体" w:hAnsi="宋体" w:eastAsia="宋体"/>
                                </w:rPr>
                                <w:t>外运</w:t>
                              </w:r>
                            </w:p>
                          </w:txbxContent>
                        </wps:txbx>
                        <wps:bodyPr upright="1"/>
                      </wps:wsp>
                      <wps:wsp>
                        <wps:cNvPr id="60" name="矩形 60"/>
                        <wps:cNvSpPr/>
                        <wps:spPr>
                          <a:xfrm>
                            <a:off x="251460" y="652145"/>
                            <a:ext cx="1029335" cy="34988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ascii="宋体" w:hAnsi="宋体" w:eastAsia="宋体"/>
                                </w:rPr>
                              </w:pPr>
                              <w:r>
                                <w:rPr>
                                  <w:rFonts w:hint="eastAsia" w:ascii="宋体" w:hAnsi="宋体" w:eastAsia="宋体"/>
                                </w:rPr>
                                <w:t>表土剥离</w:t>
                              </w:r>
                            </w:p>
                          </w:txbxContent>
                        </wps:txbx>
                        <wps:bodyPr upright="1"/>
                      </wps:wsp>
                      <wps:wsp>
                        <wps:cNvPr id="61" name="直接连接符 61"/>
                        <wps:cNvCnPr/>
                        <wps:spPr>
                          <a:xfrm flipV="1">
                            <a:off x="804067" y="302195"/>
                            <a:ext cx="784" cy="298997"/>
                          </a:xfrm>
                          <a:prstGeom prst="line">
                            <a:avLst/>
                          </a:prstGeom>
                          <a:ln w="9525" cap="flat" cmpd="sng">
                            <a:solidFill>
                              <a:srgbClr val="000000"/>
                            </a:solidFill>
                            <a:prstDash val="dash"/>
                            <a:headEnd type="none" w="med" len="med"/>
                            <a:tailEnd type="triangle" w="med" len="med"/>
                          </a:ln>
                        </wps:spPr>
                        <wps:bodyPr upright="1"/>
                      </wps:wsp>
                      <wps:wsp>
                        <wps:cNvPr id="62" name="直接连接符 62"/>
                        <wps:cNvCnPr/>
                        <wps:spPr>
                          <a:xfrm flipV="1">
                            <a:off x="2545558" y="302195"/>
                            <a:ext cx="1569" cy="298997"/>
                          </a:xfrm>
                          <a:prstGeom prst="line">
                            <a:avLst/>
                          </a:prstGeom>
                          <a:ln w="9525" cap="flat" cmpd="sng">
                            <a:solidFill>
                              <a:srgbClr val="000000"/>
                            </a:solidFill>
                            <a:prstDash val="dash"/>
                            <a:headEnd type="none" w="med" len="med"/>
                            <a:tailEnd type="triangle" w="med" len="med"/>
                          </a:ln>
                        </wps:spPr>
                        <wps:bodyPr upright="1"/>
                      </wps:wsp>
                      <wps:wsp>
                        <wps:cNvPr id="63" name="直接连接符 63"/>
                        <wps:cNvCnPr/>
                        <wps:spPr>
                          <a:xfrm flipV="1">
                            <a:off x="4421191" y="303794"/>
                            <a:ext cx="1569" cy="298198"/>
                          </a:xfrm>
                          <a:prstGeom prst="line">
                            <a:avLst/>
                          </a:prstGeom>
                          <a:ln w="9525" cap="flat" cmpd="sng">
                            <a:solidFill>
                              <a:srgbClr val="000000"/>
                            </a:solidFill>
                            <a:prstDash val="dash"/>
                            <a:headEnd type="none" w="med" len="med"/>
                            <a:tailEnd type="triangle" w="med" len="med"/>
                          </a:ln>
                        </wps:spPr>
                        <wps:bodyPr upright="1"/>
                      </wps:wsp>
                      <wps:wsp>
                        <wps:cNvPr id="66" name="矩形 66"/>
                        <wps:cNvSpPr/>
                        <wps:spPr>
                          <a:xfrm>
                            <a:off x="2009775" y="4797"/>
                            <a:ext cx="1205708" cy="297398"/>
                          </a:xfrm>
                          <a:prstGeom prst="rect">
                            <a:avLst/>
                          </a:prstGeom>
                          <a:noFill/>
                          <a:ln w="9525" cap="flat" cmpd="sng">
                            <a:solidFill>
                              <a:srgbClr val="FFFFFF"/>
                            </a:solidFill>
                            <a:prstDash val="solid"/>
                            <a:miter/>
                            <a:headEnd type="none" w="med" len="med"/>
                            <a:tailEnd type="none" w="med" len="med"/>
                          </a:ln>
                        </wps:spPr>
                        <wps:txbx>
                          <w:txbxContent>
                            <w:p>
                              <w:pPr>
                                <w:jc w:val="center"/>
                                <w:rPr>
                                  <w:rFonts w:hint="eastAsia" w:ascii="宋体" w:hAnsi="宋体" w:eastAsia="宋体"/>
                                </w:rPr>
                              </w:pPr>
                              <w:r>
                                <w:rPr>
                                  <w:rFonts w:hint="eastAsia" w:ascii="宋体" w:hAnsi="宋体" w:eastAsia="宋体"/>
                                </w:rPr>
                                <w:t>粉尘、噪声</w:t>
                              </w:r>
                            </w:p>
                          </w:txbxContent>
                        </wps:txbx>
                        <wps:bodyPr upright="1"/>
                      </wps:wsp>
                      <wps:wsp>
                        <wps:cNvPr id="67" name="矩形 67"/>
                        <wps:cNvSpPr/>
                        <wps:spPr>
                          <a:xfrm>
                            <a:off x="3885408" y="6396"/>
                            <a:ext cx="938209" cy="297398"/>
                          </a:xfrm>
                          <a:prstGeom prst="rect">
                            <a:avLst/>
                          </a:prstGeom>
                          <a:noFill/>
                          <a:ln w="9525" cap="flat" cmpd="sng">
                            <a:solidFill>
                              <a:srgbClr val="FFFFFF"/>
                            </a:solidFill>
                            <a:prstDash val="solid"/>
                            <a:miter/>
                            <a:headEnd type="none" w="med" len="med"/>
                            <a:tailEnd type="none" w="med" len="med"/>
                          </a:ln>
                        </wps:spPr>
                        <wps:txbx>
                          <w:txbxContent>
                            <w:p>
                              <w:pPr>
                                <w:jc w:val="center"/>
                                <w:rPr>
                                  <w:rFonts w:hint="eastAsia" w:ascii="宋体" w:hAnsi="宋体" w:eastAsia="宋体"/>
                                </w:rPr>
                              </w:pPr>
                              <w:r>
                                <w:rPr>
                                  <w:rFonts w:hint="eastAsia" w:ascii="宋体" w:hAnsi="宋体" w:eastAsia="宋体"/>
                                </w:rPr>
                                <w:t>扬尘、噪声</w:t>
                              </w:r>
                            </w:p>
                          </w:txbxContent>
                        </wps:txbx>
                        <wps:bodyPr upright="1"/>
                      </wps:wsp>
                      <wps:wsp>
                        <wps:cNvPr id="68" name="矩形 68"/>
                        <wps:cNvSpPr/>
                        <wps:spPr>
                          <a:xfrm>
                            <a:off x="134142" y="0"/>
                            <a:ext cx="1339850" cy="296599"/>
                          </a:xfrm>
                          <a:prstGeom prst="rect">
                            <a:avLst/>
                          </a:prstGeom>
                          <a:noFill/>
                          <a:ln w="9525" cap="flat" cmpd="sng">
                            <a:solidFill>
                              <a:srgbClr val="FFFFFF"/>
                            </a:solidFill>
                            <a:prstDash val="solid"/>
                            <a:miter/>
                            <a:headEnd type="none" w="med" len="med"/>
                            <a:tailEnd type="none" w="med" len="med"/>
                          </a:ln>
                        </wps:spPr>
                        <wps:txbx>
                          <w:txbxContent>
                            <w:p>
                              <w:pPr>
                                <w:rPr>
                                  <w:rFonts w:hint="eastAsia" w:ascii="宋体" w:hAnsi="宋体" w:eastAsia="宋体"/>
                                </w:rPr>
                              </w:pPr>
                              <w:r>
                                <w:rPr>
                                  <w:rFonts w:hint="eastAsia" w:ascii="宋体" w:hAnsi="宋体" w:eastAsia="宋体"/>
                                </w:rPr>
                                <w:t>扬尘、噪声、固废</w:t>
                              </w:r>
                            </w:p>
                          </w:txbxContent>
                        </wps:txbx>
                        <wps:bodyPr upright="1"/>
                      </wps:wsp>
                      <wps:wsp>
                        <wps:cNvPr id="69" name="直接连接符 69"/>
                        <wps:cNvCnPr/>
                        <wps:spPr>
                          <a:xfrm flipV="1">
                            <a:off x="3114040" y="748030"/>
                            <a:ext cx="768350" cy="635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94.55pt;width:422pt;" coordsize="5359400,1200785" editas="canvas" o:gfxdata="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D+coXV1gAAAAUBAAAPAAAAAAAAAAEAIAAA&#10;ACIAAABkcnMvZG93bnJldi54bWxQSwECFAAUAAAACACHTuJAm2Mo1YEEAAC+GgAADgAAAAAAAAAB&#10;ACAAAAAlAQAAZHJzL2Uyb0RvYy54bWxQSwUGAAAAAAYABgBZAQAAGAgAAAAA&#10;">
                <o:lock v:ext="edit" aspectratio="f"/>
                <v:shape id="_x0000_s1026" o:spid="_x0000_s1026" style="position:absolute;left:0;top:0;height:1200785;width:5359400;" filled="f" stroked="f" coordsize="21600,21600" o:gfxdata="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nKF1dYAAAAFAQAADwAAAAAAAAABACAAAAAiAAAA&#10;ZHJzL2Rvd25yZXYueG1sUEsBAhQAFAAAAAgAh07iQHQOAGlDBAAAORoAAA4AAAAAAAAAAQAgAAAA&#10;JQEAAGRycy9lMm9Eb2MueG1sUEsFBgAAAAAGAAYAWQEAANoHAAAAAA==&#10;">
                  <v:fill on="f" focussize="0,0"/>
                  <v:stroke on="f"/>
                  <v:imagedata o:title=""/>
                  <o:lock v:ext="edit" aspectratio="t"/>
                </v:shape>
                <v:rect id="_x0000_s1026" o:spid="_x0000_s1026" o:spt="1" style="position:absolute;left:2091690;top:633095;height:327660;width:1029335;" filled="f" stroked="t" coordsize="21600,21600" o:gfxdata="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gAWptQAAAAFAQAADwAAAAAAAAABACAAAAAiAAAA&#10;ZHJzL2Rvd25yZXYueG1sUEsBAhQAFAAAAAgAh07iQJcsfEgLAgAADQQAAA4AAAAAAAAAAQAgAAAA&#10;IwEAAGRycy9lMm9Eb2MueG1sUEsFBgAAAAAGAAYAWQEAAKAFAAAAAA==&#10;">
                  <v:fill on="f" focussize="0,0"/>
                  <v:stroke color="#000000" joinstyle="miter"/>
                  <v:imagedata o:title=""/>
                  <o:lock v:ext="edit" aspectratio="f"/>
                  <v:textbox>
                    <w:txbxContent>
                      <w:p>
                        <w:pPr>
                          <w:ind w:left="0" w:leftChars="0" w:firstLine="0" w:firstLineChars="0"/>
                          <w:jc w:val="center"/>
                          <w:rPr>
                            <w:rFonts w:hint="eastAsia" w:ascii="宋体" w:hAnsi="宋体" w:eastAsia="宋体"/>
                          </w:rPr>
                        </w:pPr>
                        <w:r>
                          <w:rPr>
                            <w:rFonts w:hint="eastAsia" w:ascii="宋体" w:hAnsi="宋体" w:eastAsia="宋体"/>
                          </w:rPr>
                          <w:t>露天开采</w:t>
                        </w:r>
                      </w:p>
                    </w:txbxContent>
                  </v:textbox>
                </v:rect>
                <v:line id="_x0000_s1026" o:spid="_x0000_s1026" o:spt="20" style="position:absolute;left:1294130;top:807720;height:635;width:768350;" filled="f" stroked="t" coordsize="21600,21600" o:gfxdata="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AhjK1QAAAAUBAAAPAAAAAAAAAAEAIAAAACIAAABk&#10;cnMvZG93bnJldi54bWxQSwECFAAUAAAACACHTuJAW5+o9wkCAAD2AwAADgAAAAAAAAABACAAAAAk&#10;AQAAZHJzL2Uyb0RvYy54bWxQSwUGAAAAAAYABgBZAQAAnwUAAAAA&#10;">
                  <v:fill on="f" focussize="0,0"/>
                  <v:stroke color="#000000" joinstyle="round" endarrow="block"/>
                  <v:imagedata o:title=""/>
                  <o:lock v:ext="edit" aspectratio="f"/>
                </v:line>
                <v:rect id="_x0000_s1026" o:spid="_x0000_s1026" o:spt="1" style="position:absolute;left:3888740;top:624840;height:342265;width:1029335;" filled="f" stroked="t" coordsize="21600,21600" o:gfxdata="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gAWptQAAAAFAQAADwAAAAAAAAABACAAAAAiAAAAZHJz&#10;L2Rvd25yZXYueG1sUEsBAhQAFAAAAAgAh07iQLy5HvkIAgAADQQAAA4AAAAAAAAAAQAgAAAAIwEA&#10;AGRycy9lMm9Eb2MueG1sUEsFBgAAAAAGAAYAWQEAAJ0FAAAAAA==&#10;">
                  <v:fill on="f" focussize="0,0"/>
                  <v:stroke color="#000000" joinstyle="miter"/>
                  <v:imagedata o:title=""/>
                  <o:lock v:ext="edit" aspectratio="f"/>
                  <v:textbox>
                    <w:txbxContent>
                      <w:p>
                        <w:pPr>
                          <w:ind w:left="0" w:leftChars="0" w:firstLine="0" w:firstLineChars="0"/>
                          <w:jc w:val="center"/>
                          <w:rPr>
                            <w:rFonts w:hint="eastAsia" w:ascii="宋体" w:hAnsi="宋体" w:eastAsia="宋体"/>
                          </w:rPr>
                        </w:pPr>
                        <w:r>
                          <w:rPr>
                            <w:rFonts w:hint="eastAsia" w:ascii="宋体" w:hAnsi="宋体" w:eastAsia="宋体"/>
                          </w:rPr>
                          <w:t>外运</w:t>
                        </w:r>
                      </w:p>
                    </w:txbxContent>
                  </v:textbox>
                </v:rect>
                <v:rect id="_x0000_s1026" o:spid="_x0000_s1026" o:spt="1" style="position:absolute;left:251460;top:652145;height:349885;width:1029335;" filled="f" stroked="t" coordsize="21600,21600" o:gfxdata="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gAWptQAAAAFAQAADwAAAAAAAAABACAAAAAiAAAAZHJz&#10;L2Rvd25yZXYueG1sUEsBAhQAFAAAAAgAh07iQD64kEYIAgAADAQAAA4AAAAAAAAAAQAgAAAAIwEA&#10;AGRycy9lMm9Eb2MueG1sUEsFBgAAAAAGAAYAWQEAAJ0FAAAAAA==&#10;">
                  <v:fill on="f" focussize="0,0"/>
                  <v:stroke color="#000000" joinstyle="miter"/>
                  <v:imagedata o:title=""/>
                  <o:lock v:ext="edit" aspectratio="f"/>
                  <v:textbox>
                    <w:txbxContent>
                      <w:p>
                        <w:pPr>
                          <w:ind w:left="0" w:leftChars="0" w:firstLine="0" w:firstLineChars="0"/>
                          <w:jc w:val="center"/>
                          <w:rPr>
                            <w:rFonts w:hint="eastAsia" w:ascii="宋体" w:hAnsi="宋体" w:eastAsia="宋体"/>
                          </w:rPr>
                        </w:pPr>
                        <w:r>
                          <w:rPr>
                            <w:rFonts w:hint="eastAsia" w:ascii="宋体" w:hAnsi="宋体" w:eastAsia="宋体"/>
                          </w:rPr>
                          <w:t>表土剥离</w:t>
                        </w:r>
                      </w:p>
                    </w:txbxContent>
                  </v:textbox>
                </v:rect>
                <v:line id="_x0000_s1026" o:spid="_x0000_s1026" o:spt="20" style="position:absolute;left:804067;top:302195;flip:y;height:298997;width:784;" filled="f" stroked="t" coordsize="21600,21600" o:gfxdata="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uCwc0gAAAAUBAAAPAAAAAAAAAAEAIAAA&#10;ACIAAABkcnMvZG93bnJldi54bWxQSwECFAAUAAAACACHTuJACRSZuxICAAD+AwAADgAAAAAAAAAB&#10;ACAAAAAhAQAAZHJzL2Uyb0RvYy54bWxQSwUGAAAAAAYABgBZAQAApQUAAAAA&#10;">
                  <v:fill on="f" focussize="0,0"/>
                  <v:stroke color="#000000" joinstyle="round" dashstyle="dash" endarrow="block"/>
                  <v:imagedata o:title=""/>
                  <o:lock v:ext="edit" aspectratio="f"/>
                </v:line>
                <v:line id="_x0000_s1026" o:spid="_x0000_s1026" o:spt="20" style="position:absolute;left:2545558;top:302195;flip:y;height:298997;width:1569;" filled="f" stroked="t" coordsize="21600,21600" o:gfxdata="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q4LBzSAAAABQEAAA8AAAAAAAAAAQAg&#10;AAAAIgAAAGRycy9kb3ducmV2LnhtbFBLAQIUABQAAAAIAIdO4kBgHDmTFAIAAAAEAAAOAAAAAAAA&#10;AAEAIAAAACEBAABkcnMvZTJvRG9jLnhtbFBLBQYAAAAABgAGAFkBAACnBQAAAAA=&#10;">
                  <v:fill on="f" focussize="0,0"/>
                  <v:stroke color="#000000" joinstyle="round" dashstyle="dash" endarrow="block"/>
                  <v:imagedata o:title=""/>
                  <o:lock v:ext="edit" aspectratio="f"/>
                </v:line>
                <v:line id="_x0000_s1026" o:spid="_x0000_s1026" o:spt="20" style="position:absolute;left:4421191;top:303794;flip:y;height:298198;width:1569;" filled="f" stroked="t" coordsize="21600,21600" o:gfxdata="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rgsHNIAAAAFAQAADwAAAAAAAAAB&#10;ACAAAAAiAAAAZHJzL2Rvd25yZXYueG1sUEsBAhQAFAAAAAgAh07iQHhJRQsWAgAAAAQAAA4AAAAA&#10;AAAAAQAgAAAAIQEAAGRycy9lMm9Eb2MueG1sUEsFBgAAAAAGAAYAWQEAAKkFAAAAAA==&#10;">
                  <v:fill on="f" focussize="0,0"/>
                  <v:stroke color="#000000" joinstyle="round" dashstyle="dash" endarrow="block"/>
                  <v:imagedata o:title=""/>
                  <o:lock v:ext="edit" aspectratio="f"/>
                </v:line>
                <v:rect id="_x0000_s1026" o:spid="_x0000_s1026" o:spt="1" style="position:absolute;left:2009775;top:4797;height:297398;width:1205708;" filled="f" stroked="t" coordsize="21600,21600" o:gfxdata="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&#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rgVX1gAAAAUBAAAPAAAAAAAAAAEAIAAAACIAAABk&#10;cnMvZG93bnJldi54bWxQSwECFAAUAAAACACHTuJAQtUb2AgCAAALBAAADgAAAAAAAAABACAAAAAl&#10;AQAAZHJzL2Uyb0RvYy54bWxQSwUGAAAAAAYABgBZAQAAnwUAAAAA&#10;">
                  <v:fill on="f" focussize="0,0"/>
                  <v:stroke color="#FFFFFF" joinstyle="miter"/>
                  <v:imagedata o:title=""/>
                  <o:lock v:ext="edit" aspectratio="f"/>
                  <v:textbox>
                    <w:txbxContent>
                      <w:p>
                        <w:pPr>
                          <w:jc w:val="center"/>
                          <w:rPr>
                            <w:rFonts w:hint="eastAsia" w:ascii="宋体" w:hAnsi="宋体" w:eastAsia="宋体"/>
                          </w:rPr>
                        </w:pPr>
                        <w:r>
                          <w:rPr>
                            <w:rFonts w:hint="eastAsia" w:ascii="宋体" w:hAnsi="宋体" w:eastAsia="宋体"/>
                          </w:rPr>
                          <w:t>粉尘、噪声</w:t>
                        </w:r>
                      </w:p>
                    </w:txbxContent>
                  </v:textbox>
                </v:rect>
                <v:rect id="_x0000_s1026" o:spid="_x0000_s1026" o:spt="1" style="position:absolute;left:3885408;top:6396;height:297398;width:938209;" filled="f" stroked="t" coordsize="21600,21600" o:gfxdata="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KuBVfWAAAABQEAAA8AAAAAAAAAAQAgAAAAIgAAAGRy&#10;cy9kb3ducmV2LnhtbFBLAQIUABQAAAAIAIdO4kCfErwhBwIAAAoEAAAOAAAAAAAAAAEAIAAAACUB&#10;AABkcnMvZTJvRG9jLnhtbFBLBQYAAAAABgAGAFkBAACeBQAAAAA=&#10;">
                  <v:fill on="f" focussize="0,0"/>
                  <v:stroke color="#FFFFFF" joinstyle="miter"/>
                  <v:imagedata o:title=""/>
                  <o:lock v:ext="edit" aspectratio="f"/>
                  <v:textbox>
                    <w:txbxContent>
                      <w:p>
                        <w:pPr>
                          <w:jc w:val="center"/>
                          <w:rPr>
                            <w:rFonts w:hint="eastAsia" w:ascii="宋体" w:hAnsi="宋体" w:eastAsia="宋体"/>
                          </w:rPr>
                        </w:pPr>
                        <w:r>
                          <w:rPr>
                            <w:rFonts w:hint="eastAsia" w:ascii="宋体" w:hAnsi="宋体" w:eastAsia="宋体"/>
                          </w:rPr>
                          <w:t>扬尘、噪声</w:t>
                        </w:r>
                      </w:p>
                    </w:txbxContent>
                  </v:textbox>
                </v:rect>
                <v:rect id="_x0000_s1026" o:spid="_x0000_s1026" o:spt="1" style="position:absolute;left:134142;top:0;height:296599;width:1339850;" filled="f" stroked="t" coordsize="21600,21600" o:gfxdata="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q4FV9YAAAAFAQAADwAAAAAAAAABACAAAAAiAAAAZHJzL2Rv&#10;d25yZXYueG1sUEsBAhQAFAAAAAgAh07iQO/e7IsDAgAABwQAAA4AAAAAAAAAAQAgAAAAJQEAAGRy&#10;cy9lMm9Eb2MueG1sUEsFBgAAAAAGAAYAWQEAAJoFAAAAAA==&#10;">
                  <v:fill on="f" focussize="0,0"/>
                  <v:stroke color="#FFFFFF" joinstyle="miter"/>
                  <v:imagedata o:title=""/>
                  <o:lock v:ext="edit" aspectratio="f"/>
                  <v:textbox>
                    <w:txbxContent>
                      <w:p>
                        <w:pPr>
                          <w:rPr>
                            <w:rFonts w:hint="eastAsia" w:ascii="宋体" w:hAnsi="宋体" w:eastAsia="宋体"/>
                          </w:rPr>
                        </w:pPr>
                        <w:r>
                          <w:rPr>
                            <w:rFonts w:hint="eastAsia" w:ascii="宋体" w:hAnsi="宋体" w:eastAsia="宋体"/>
                          </w:rPr>
                          <w:t>扬尘、噪声、固废</w:t>
                        </w:r>
                      </w:p>
                    </w:txbxContent>
                  </v:textbox>
                </v:rect>
                <v:line id="_x0000_s1026" o:spid="_x0000_s1026" o:spt="20" style="position:absolute;left:3114040;top:748030;flip:y;height:6350;width:768350;" filled="f" stroked="t" coordsize="21600,21600" o:gfxdata="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qjZnVAAAABQEAAA8AAAAAAAAAAQAg&#10;AAAAIgAAAGRycy9kb3ducmV2LnhtbFBLAQIUABQAAAAIAIdO4kDwxlt+EQIAAAEEAAAOAAAAAAAA&#10;AAEAIAAAACQBAABkcnMvZTJvRG9jLnhtbFBLBQYAAAAABgAGAFkBAACnBQAAAAA=&#10;">
                  <v:fill on="f" focussize="0,0"/>
                  <v:stroke color="#000000" joinstyle="round" endarrow="block"/>
                  <v:imagedata o:title=""/>
                  <o:lock v:ext="edit" aspectratio="f"/>
                </v:line>
                <w10:wrap type="none"/>
                <w10:anchorlock/>
              </v:group>
            </w:pict>
          </mc:Fallback>
        </mc:AlternateContent>
      </w:r>
      <w:r>
        <w:rPr>
          <w:rFonts w:ascii="Times New Roman" w:hAnsi="宋体" w:eastAsia="宋体"/>
          <w:b/>
          <w:bCs/>
          <w:color w:val="000000"/>
          <w:sz w:val="21"/>
          <w:szCs w:val="21"/>
        </w:rPr>
        <w:t>图</w:t>
      </w:r>
      <w:r>
        <w:rPr>
          <w:rFonts w:hint="eastAsia" w:ascii="Times New Roman" w:hAnsi="Times New Roman" w:eastAsia="宋体"/>
          <w:b/>
          <w:bCs/>
          <w:color w:val="000000"/>
          <w:sz w:val="21"/>
          <w:szCs w:val="21"/>
          <w:lang w:val="en-US" w:eastAsia="zh-CN"/>
        </w:rPr>
        <w:t xml:space="preserve">3.1-1 </w:t>
      </w:r>
      <w:r>
        <w:rPr>
          <w:rFonts w:ascii="Times New Roman" w:hAnsi="宋体" w:eastAsia="宋体"/>
          <w:b/>
          <w:bCs/>
          <w:color w:val="000000"/>
          <w:sz w:val="21"/>
          <w:szCs w:val="21"/>
        </w:rPr>
        <w:t>生产工艺流程及产污节点图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3.1.5.2 产污环节分析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（1）废气污染物</w:t>
      </w:r>
    </w:p>
    <w:p>
      <w:pPr>
        <w:adjustRightInd/>
        <w:snapToGrid/>
        <w:spacing w:after="0" w:line="360" w:lineRule="auto"/>
        <w:ind w:firstLine="435"/>
        <w:rPr>
          <w:rFonts w:ascii="Times New Roman" w:hAnsi="Times New Roman" w:eastAsia="宋体"/>
          <w:color w:val="000000"/>
          <w:sz w:val="24"/>
          <w:szCs w:val="24"/>
        </w:rPr>
      </w:pPr>
      <w:r>
        <w:rPr>
          <w:rFonts w:hint="eastAsia" w:ascii="Times New Roman" w:hAnsi="宋体" w:eastAsia="宋体"/>
          <w:color w:val="000000"/>
          <w:sz w:val="24"/>
          <w:szCs w:val="24"/>
          <w:lang w:val="en-US" w:eastAsia="zh-CN"/>
        </w:rPr>
        <w:t>现有</w:t>
      </w:r>
      <w:r>
        <w:rPr>
          <w:rFonts w:ascii="Times New Roman" w:hAnsi="宋体" w:eastAsia="宋体"/>
          <w:color w:val="000000"/>
          <w:sz w:val="24"/>
          <w:szCs w:val="24"/>
        </w:rPr>
        <w:t>项目产生的废气主要为以下几个方面；</w:t>
      </w:r>
    </w:p>
    <w:p>
      <w:pPr>
        <w:adjustRightInd/>
        <w:snapToGrid/>
        <w:spacing w:after="0" w:line="360" w:lineRule="auto"/>
        <w:ind w:firstLine="480" w:firstLineChars="200"/>
        <w:rPr>
          <w:rFonts w:ascii="Times New Roman" w:hAnsi="Times New Roman" w:eastAsia="宋体"/>
          <w:sz w:val="24"/>
          <w:szCs w:val="24"/>
        </w:rPr>
      </w:pPr>
      <w:r>
        <w:rPr>
          <w:rFonts w:ascii="宋体" w:hAnsi="宋体" w:eastAsia="宋体"/>
          <w:sz w:val="24"/>
          <w:szCs w:val="24"/>
        </w:rPr>
        <w:t>①</w:t>
      </w:r>
      <w:r>
        <w:rPr>
          <w:rFonts w:ascii="Times New Roman" w:hAnsi="宋体" w:eastAsia="宋体"/>
          <w:sz w:val="24"/>
          <w:szCs w:val="24"/>
        </w:rPr>
        <w:t>采矿区挖掘过程中产生的粉尘；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ascii="宋体" w:hAnsi="宋体" w:eastAsia="宋体"/>
          <w:sz w:val="24"/>
          <w:szCs w:val="24"/>
        </w:rPr>
        <w:t>②</w:t>
      </w:r>
      <w:r>
        <w:rPr>
          <w:rFonts w:ascii="Times New Roman" w:hAnsi="宋体" w:eastAsia="宋体"/>
          <w:sz w:val="24"/>
          <w:szCs w:val="24"/>
        </w:rPr>
        <w:t>运输车辆产生的扬尘。</w:t>
      </w:r>
    </w:p>
    <w:p>
      <w:pPr>
        <w:adjustRightInd/>
        <w:snapToGrid/>
        <w:spacing w:after="0" w:line="360" w:lineRule="auto"/>
        <w:ind w:firstLine="435"/>
        <w:rPr>
          <w:rFonts w:ascii="Times New Roman" w:hAnsi="Times New Roman" w:eastAsia="宋体"/>
          <w:b/>
          <w:color w:val="000000"/>
          <w:sz w:val="24"/>
          <w:szCs w:val="24"/>
        </w:rPr>
      </w:pPr>
      <w:r>
        <w:rPr>
          <w:rFonts w:ascii="Times New Roman" w:hAnsi="宋体" w:eastAsia="宋体"/>
          <w:b/>
          <w:color w:val="000000"/>
          <w:sz w:val="24"/>
          <w:szCs w:val="24"/>
        </w:rPr>
        <w:t>处理措施：</w:t>
      </w:r>
    </w:p>
    <w:p>
      <w:pPr>
        <w:pStyle w:val="20"/>
        <w:adjustRightInd/>
        <w:snapToGrid/>
        <w:spacing w:after="0" w:line="360" w:lineRule="auto"/>
        <w:ind w:left="0" w:leftChars="0" w:firstLine="480" w:firstLineChars="200"/>
        <w:rPr>
          <w:rFonts w:ascii="Times New Roman" w:hAnsi="Times New Roman" w:eastAsia="宋体"/>
          <w:color w:val="000000"/>
          <w:sz w:val="24"/>
          <w:szCs w:val="24"/>
        </w:rPr>
      </w:pPr>
      <w:r>
        <w:rPr>
          <w:rFonts w:ascii="宋体" w:hAnsi="宋体" w:eastAsia="宋体"/>
          <w:color w:val="000000"/>
          <w:sz w:val="24"/>
          <w:szCs w:val="24"/>
        </w:rPr>
        <w:t>①</w:t>
      </w:r>
      <w:r>
        <w:rPr>
          <w:rFonts w:ascii="Times New Roman" w:hAnsi="宋体" w:eastAsia="宋体"/>
          <w:color w:val="000000"/>
          <w:sz w:val="24"/>
          <w:szCs w:val="24"/>
        </w:rPr>
        <w:t>采矿区布设高压雾炮机，用于采矿作业面扬尘治理。该设备内置风机，将罐体内的水雾化风送到</w:t>
      </w:r>
      <w:r>
        <w:rPr>
          <w:rFonts w:ascii="Times New Roman" w:hAnsi="Times New Roman" w:eastAsia="宋体"/>
          <w:color w:val="000000"/>
          <w:sz w:val="24"/>
          <w:szCs w:val="24"/>
        </w:rPr>
        <w:t>50</w:t>
      </w:r>
      <w:r>
        <w:rPr>
          <w:rFonts w:ascii="Times New Roman" w:hAnsi="宋体" w:eastAsia="宋体"/>
          <w:color w:val="000000"/>
          <w:sz w:val="24"/>
          <w:szCs w:val="24"/>
        </w:rPr>
        <w:t>米远范围。</w:t>
      </w:r>
    </w:p>
    <w:p>
      <w:pPr>
        <w:adjustRightInd/>
        <w:snapToGrid/>
        <w:spacing w:after="0" w:line="360"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②</w:t>
      </w:r>
      <w:r>
        <w:rPr>
          <w:rFonts w:ascii="Times New Roman" w:hAnsi="宋体" w:eastAsia="宋体"/>
          <w:color w:val="000000"/>
          <w:sz w:val="24"/>
          <w:szCs w:val="24"/>
        </w:rPr>
        <w:t>矿区运输车辆限定时速、遮盖篷布；厂内设洒水罐车</w:t>
      </w:r>
      <w:r>
        <w:rPr>
          <w:rFonts w:ascii="Times New Roman" w:hAnsi="Times New Roman" w:eastAsia="宋体"/>
          <w:color w:val="000000"/>
          <w:sz w:val="24"/>
          <w:szCs w:val="24"/>
        </w:rPr>
        <w:t>1</w:t>
      </w:r>
      <w:r>
        <w:rPr>
          <w:rFonts w:ascii="Times New Roman" w:hAnsi="宋体" w:eastAsia="宋体"/>
          <w:color w:val="000000"/>
          <w:sz w:val="24"/>
          <w:szCs w:val="24"/>
        </w:rPr>
        <w:t>台，定期对主干道路进行洒水降尘。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ascii="宋体" w:hAnsi="宋体" w:eastAsia="宋体"/>
          <w:color w:val="000000"/>
          <w:sz w:val="24"/>
          <w:szCs w:val="24"/>
        </w:rPr>
        <w:t>③</w:t>
      </w:r>
      <w:r>
        <w:rPr>
          <w:rFonts w:ascii="Times New Roman" w:hAnsi="宋体" w:eastAsia="宋体"/>
          <w:sz w:val="24"/>
          <w:szCs w:val="24"/>
        </w:rPr>
        <w:t>矿区南侧安装防风抑尘网，高</w:t>
      </w:r>
      <w:r>
        <w:rPr>
          <w:rFonts w:ascii="Times New Roman" w:hAnsi="Times New Roman" w:eastAsia="宋体"/>
          <w:sz w:val="24"/>
          <w:szCs w:val="24"/>
        </w:rPr>
        <w:t>6m</w:t>
      </w:r>
      <w:r>
        <w:rPr>
          <w:rFonts w:ascii="Times New Roman" w:hAnsi="宋体" w:eastAsia="宋体"/>
          <w:sz w:val="24"/>
          <w:szCs w:val="24"/>
        </w:rPr>
        <w:t>，全长</w:t>
      </w:r>
      <w:r>
        <w:rPr>
          <w:rFonts w:ascii="Times New Roman" w:hAnsi="Times New Roman" w:eastAsia="宋体"/>
          <w:sz w:val="24"/>
          <w:szCs w:val="24"/>
        </w:rPr>
        <w:t>150m</w:t>
      </w:r>
      <w:r>
        <w:rPr>
          <w:rFonts w:ascii="Times New Roman" w:hAnsi="宋体" w:eastAsia="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根据2019年10月《苏尼特右旗巴润宝力格采砂场项目竣工环境保护验收调查报告》，</w:t>
      </w:r>
      <w:r>
        <w:rPr>
          <w:rFonts w:ascii="Times New Roman" w:hAnsi="宋体" w:eastAsia="宋体"/>
          <w:color w:val="000000"/>
          <w:sz w:val="24"/>
          <w:szCs w:val="24"/>
        </w:rPr>
        <w:t>无组织排放颗粒物最大值</w:t>
      </w:r>
      <w:r>
        <w:rPr>
          <w:rFonts w:hint="eastAsia" w:ascii="Times New Roman" w:hAnsi="宋体" w:eastAsia="宋体"/>
          <w:color w:val="000000"/>
          <w:sz w:val="24"/>
          <w:szCs w:val="24"/>
          <w:lang w:val="en-US" w:eastAsia="zh-CN"/>
        </w:rPr>
        <w:t>浓度值</w:t>
      </w:r>
      <w:r>
        <w:rPr>
          <w:rFonts w:ascii="Times New Roman" w:hAnsi="宋体" w:eastAsia="宋体"/>
          <w:sz w:val="24"/>
          <w:szCs w:val="24"/>
        </w:rPr>
        <w:t>为</w:t>
      </w:r>
      <w:r>
        <w:rPr>
          <w:rFonts w:ascii="Times New Roman" w:hAnsi="Times New Roman" w:eastAsia="宋体"/>
          <w:sz w:val="24"/>
          <w:szCs w:val="24"/>
        </w:rPr>
        <w:t>0.058mg/m</w:t>
      </w:r>
      <w:r>
        <w:rPr>
          <w:rFonts w:ascii="Times New Roman" w:hAnsi="Times New Roman" w:eastAsia="宋体"/>
          <w:sz w:val="24"/>
          <w:szCs w:val="24"/>
          <w:vertAlign w:val="superscript"/>
        </w:rPr>
        <w:t>3</w:t>
      </w:r>
      <w:r>
        <w:rPr>
          <w:rFonts w:ascii="Times New Roman" w:hAnsi="宋体" w:eastAsia="宋体"/>
          <w:color w:val="000000"/>
          <w:sz w:val="24"/>
          <w:szCs w:val="24"/>
        </w:rPr>
        <w:t>，满足《大气污染物综合排放标准》（</w:t>
      </w:r>
      <w:r>
        <w:rPr>
          <w:rFonts w:ascii="Times New Roman" w:hAnsi="Times New Roman" w:eastAsia="宋体"/>
          <w:color w:val="000000"/>
          <w:sz w:val="24"/>
          <w:szCs w:val="24"/>
        </w:rPr>
        <w:t>GB16297-96</w:t>
      </w:r>
      <w:r>
        <w:rPr>
          <w:rFonts w:ascii="Times New Roman" w:hAnsi="宋体" w:eastAsia="宋体"/>
          <w:color w:val="000000"/>
          <w:sz w:val="24"/>
          <w:szCs w:val="24"/>
        </w:rPr>
        <w:t>）中</w:t>
      </w:r>
      <w:r>
        <w:rPr>
          <w:rFonts w:hint="eastAsia" w:ascii="Times New Roman" w:hAnsi="宋体" w:eastAsia="宋体"/>
          <w:color w:val="000000"/>
          <w:sz w:val="24"/>
          <w:szCs w:val="24"/>
          <w:lang w:val="en-US" w:eastAsia="zh-CN"/>
        </w:rPr>
        <w:t>无组织排放</w:t>
      </w:r>
      <w:r>
        <w:rPr>
          <w:rFonts w:ascii="Times New Roman" w:hAnsi="宋体" w:eastAsia="宋体"/>
          <w:color w:val="000000"/>
          <w:sz w:val="24"/>
          <w:szCs w:val="24"/>
        </w:rPr>
        <w:t>标准</w:t>
      </w:r>
      <w:r>
        <w:rPr>
          <w:rFonts w:hint="eastAsia" w:ascii="Times New Roman" w:hAnsi="宋体" w:eastAsia="宋体"/>
          <w:color w:val="000000"/>
          <w:sz w:val="24"/>
          <w:szCs w:val="24"/>
          <w:lang w:val="en-US" w:eastAsia="zh-CN"/>
        </w:rPr>
        <w:t>限值要求</w:t>
      </w:r>
      <w:r>
        <w:rPr>
          <w:rFonts w:ascii="Times New Roman" w:hAnsi="宋体" w:eastAsia="宋体"/>
          <w:color w:val="000000"/>
          <w:sz w:val="24"/>
          <w:szCs w:val="24"/>
        </w:rPr>
        <w:t>，即小于</w:t>
      </w:r>
      <w:r>
        <w:rPr>
          <w:rFonts w:ascii="Times New Roman" w:hAnsi="Times New Roman" w:eastAsia="宋体"/>
          <w:color w:val="000000"/>
          <w:sz w:val="24"/>
          <w:szCs w:val="24"/>
        </w:rPr>
        <w:t>1.0mg/m</w:t>
      </w:r>
      <w:r>
        <w:rPr>
          <w:rFonts w:ascii="Times New Roman" w:hAnsi="Times New Roman" w:eastAsia="宋体"/>
          <w:color w:val="000000"/>
          <w:sz w:val="24"/>
          <w:szCs w:val="24"/>
          <w:vertAlign w:val="superscript"/>
        </w:rPr>
        <w:t>3</w:t>
      </w:r>
      <w:r>
        <w:rPr>
          <w:rFonts w:ascii="Times New Roman" w:hAnsi="宋体" w:eastAsia="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ascii="Times New Roman" w:hAnsi="宋体" w:eastAsia="宋体"/>
          <w:color w:val="000000"/>
          <w:sz w:val="24"/>
          <w:szCs w:val="24"/>
        </w:rPr>
        <w:t>厂区生活污水产生量约为</w:t>
      </w:r>
      <w:r>
        <w:rPr>
          <w:rFonts w:ascii="Times New Roman" w:hAnsi="Times New Roman" w:eastAsia="宋体"/>
          <w:color w:val="000000"/>
          <w:sz w:val="24"/>
          <w:szCs w:val="24"/>
        </w:rPr>
        <w:t>0.67t/a</w:t>
      </w:r>
      <w:r>
        <w:rPr>
          <w:rFonts w:ascii="Times New Roman" w:hAnsi="宋体" w:eastAsia="宋体"/>
          <w:color w:val="000000"/>
          <w:sz w:val="24"/>
          <w:szCs w:val="24"/>
        </w:rPr>
        <w:t>，</w:t>
      </w:r>
      <w:r>
        <w:rPr>
          <w:rFonts w:ascii="Times New Roman" w:hAnsi="宋体" w:eastAsia="宋体"/>
          <w:bCs/>
          <w:sz w:val="24"/>
          <w:szCs w:val="24"/>
        </w:rPr>
        <w:t>办公生活区南侧设置旱厕一座，生活废水全部进入旱厕，不外排。</w:t>
      </w:r>
    </w:p>
    <w:p>
      <w:pPr>
        <w:adjustRightInd/>
        <w:snapToGrid/>
        <w:spacing w:after="0" w:line="360" w:lineRule="auto"/>
        <w:rPr>
          <w:rFonts w:ascii="Times New Roman" w:hAnsi="Times New Roman" w:eastAsia="宋体"/>
          <w:b w:val="0"/>
          <w:bCs w:val="0"/>
          <w:color w:val="000000"/>
          <w:sz w:val="24"/>
          <w:szCs w:val="24"/>
        </w:rPr>
      </w:pPr>
      <w:r>
        <w:rPr>
          <w:rFonts w:hint="eastAsia" w:ascii="Times New Roman" w:hAnsi="Times New Roman" w:eastAsia="宋体"/>
          <w:b w:val="0"/>
          <w:bCs w:val="0"/>
          <w:color w:val="000000"/>
          <w:sz w:val="24"/>
          <w:szCs w:val="24"/>
          <w:lang w:eastAsia="zh-CN"/>
        </w:rPr>
        <w:t>（</w:t>
      </w:r>
      <w:r>
        <w:rPr>
          <w:rFonts w:hint="eastAsia" w:ascii="Times New Roman" w:hAnsi="Times New Roman" w:eastAsia="宋体"/>
          <w:b w:val="0"/>
          <w:bCs w:val="0"/>
          <w:color w:val="000000"/>
          <w:sz w:val="24"/>
          <w:szCs w:val="24"/>
          <w:lang w:val="en-US" w:eastAsia="zh-CN"/>
        </w:rPr>
        <w:t>3</w:t>
      </w:r>
      <w:r>
        <w:rPr>
          <w:rFonts w:hint="eastAsia" w:ascii="Times New Roman" w:hAnsi="Times New Roman" w:eastAsia="宋体"/>
          <w:b w:val="0"/>
          <w:bCs w:val="0"/>
          <w:color w:val="000000"/>
          <w:sz w:val="24"/>
          <w:szCs w:val="24"/>
          <w:lang w:eastAsia="zh-CN"/>
        </w:rPr>
        <w:t>）</w:t>
      </w:r>
      <w:r>
        <w:rPr>
          <w:rFonts w:ascii="Times New Roman" w:hAnsi="宋体" w:eastAsia="宋体"/>
          <w:b w:val="0"/>
          <w:bCs w:val="0"/>
          <w:color w:val="000000"/>
          <w:sz w:val="24"/>
          <w:szCs w:val="24"/>
        </w:rPr>
        <w:t>噪声</w:t>
      </w:r>
    </w:p>
    <w:p>
      <w:pPr>
        <w:adjustRightInd/>
        <w:snapToGrid/>
        <w:spacing w:after="0" w:line="360" w:lineRule="auto"/>
        <w:ind w:firstLine="435"/>
        <w:rPr>
          <w:rFonts w:ascii="Times New Roman" w:hAnsi="Times New Roman" w:eastAsia="宋体"/>
          <w:color w:val="000000"/>
          <w:sz w:val="24"/>
          <w:szCs w:val="24"/>
        </w:rPr>
      </w:pPr>
      <w:r>
        <w:rPr>
          <w:rFonts w:ascii="Times New Roman" w:hAnsi="宋体" w:eastAsia="宋体"/>
          <w:b w:val="0"/>
          <w:bCs/>
          <w:color w:val="000000"/>
          <w:sz w:val="24"/>
          <w:szCs w:val="24"/>
        </w:rPr>
        <w:t>主要污染源：</w:t>
      </w:r>
      <w:r>
        <w:rPr>
          <w:rFonts w:ascii="Times New Roman" w:hAnsi="宋体" w:eastAsia="宋体"/>
          <w:color w:val="000000"/>
          <w:sz w:val="24"/>
          <w:szCs w:val="24"/>
        </w:rPr>
        <w:t>本项目噪声主要为原料挖掘产生的机械噪声，以及车辆运输过程中产生的交通噪声。</w:t>
      </w:r>
    </w:p>
    <w:p>
      <w:pPr>
        <w:adjustRightInd/>
        <w:snapToGrid/>
        <w:spacing w:after="0" w:line="360" w:lineRule="auto"/>
        <w:ind w:firstLine="435"/>
        <w:rPr>
          <w:rFonts w:ascii="Times New Roman" w:hAnsi="宋体" w:eastAsia="宋体"/>
          <w:color w:val="000000"/>
          <w:sz w:val="24"/>
          <w:szCs w:val="24"/>
        </w:rPr>
      </w:pPr>
      <w:r>
        <w:rPr>
          <w:rFonts w:ascii="Times New Roman" w:hAnsi="宋体" w:eastAsia="宋体"/>
          <w:b/>
          <w:color w:val="000000"/>
          <w:sz w:val="24"/>
          <w:szCs w:val="24"/>
        </w:rPr>
        <w:t>处理措施：</w:t>
      </w:r>
      <w:r>
        <w:rPr>
          <w:rFonts w:hint="eastAsia" w:ascii="Times New Roman" w:hAnsi="宋体" w:eastAsia="宋体"/>
          <w:b w:val="0"/>
          <w:bCs/>
          <w:color w:val="000000"/>
          <w:sz w:val="24"/>
          <w:szCs w:val="24"/>
          <w:lang w:val="en-US" w:eastAsia="zh-CN"/>
        </w:rPr>
        <w:t>通过</w:t>
      </w:r>
      <w:r>
        <w:rPr>
          <w:rFonts w:ascii="Times New Roman" w:hAnsi="宋体" w:eastAsia="宋体"/>
          <w:sz w:val="24"/>
          <w:szCs w:val="24"/>
        </w:rPr>
        <w:t>选用国内通用低噪声设备，定期维护机械设备</w:t>
      </w:r>
      <w:r>
        <w:rPr>
          <w:rFonts w:ascii="Times New Roman" w:hAnsi="宋体" w:eastAsia="宋体"/>
          <w:color w:val="000000"/>
          <w:sz w:val="24"/>
          <w:szCs w:val="24"/>
        </w:rPr>
        <w:t>等措施降低噪声影响。</w:t>
      </w:r>
    </w:p>
    <w:p>
      <w:pPr>
        <w:adjustRightInd/>
        <w:snapToGrid/>
        <w:spacing w:after="0" w:line="360" w:lineRule="auto"/>
        <w:ind w:firstLine="435"/>
        <w:rPr>
          <w:rFonts w:hint="eastAsia" w:ascii="Times New Roman" w:hAnsi="Times New Roman" w:eastAsia="宋体"/>
          <w:color w:val="000000"/>
          <w:sz w:val="24"/>
          <w:szCs w:val="24"/>
          <w:lang w:eastAsia="zh-CN"/>
        </w:rPr>
      </w:pPr>
      <w:r>
        <w:rPr>
          <w:rFonts w:hint="eastAsia" w:ascii="Times New Roman" w:hAnsi="Times New Roman" w:eastAsia="宋体" w:cs="Times New Roman"/>
          <w:color w:val="auto"/>
          <w:highlight w:val="none"/>
          <w:lang w:val="en-US" w:eastAsia="zh-CN"/>
        </w:rPr>
        <w:t>根据2019年10月《苏尼特右旗巴润宝力格采砂场项目竣工环境保护验收调查报告》，</w:t>
      </w:r>
      <w:r>
        <w:rPr>
          <w:rFonts w:ascii="Times New Roman" w:hAnsi="宋体" w:eastAsia="宋体"/>
          <w:color w:val="000000"/>
          <w:sz w:val="24"/>
          <w:szCs w:val="24"/>
        </w:rPr>
        <w:t>厂界昼间噪声值为</w:t>
      </w:r>
      <w:r>
        <w:rPr>
          <w:rFonts w:ascii="Times New Roman" w:hAnsi="Times New Roman" w:eastAsia="宋体"/>
          <w:color w:val="000000"/>
          <w:sz w:val="24"/>
          <w:szCs w:val="24"/>
        </w:rPr>
        <w:t>42.1~45.4 dB</w:t>
      </w:r>
      <w:r>
        <w:rPr>
          <w:rFonts w:ascii="Times New Roman" w:hAnsi="宋体" w:eastAsia="宋体"/>
          <w:color w:val="000000"/>
          <w:sz w:val="24"/>
          <w:szCs w:val="24"/>
        </w:rPr>
        <w:t>（</w:t>
      </w:r>
      <w:r>
        <w:rPr>
          <w:rFonts w:ascii="Times New Roman" w:hAnsi="Times New Roman" w:eastAsia="宋体"/>
          <w:color w:val="000000"/>
          <w:sz w:val="24"/>
          <w:szCs w:val="24"/>
        </w:rPr>
        <w:t>A</w:t>
      </w:r>
      <w:r>
        <w:rPr>
          <w:rFonts w:ascii="Times New Roman" w:hAnsi="宋体" w:eastAsia="宋体"/>
          <w:color w:val="000000"/>
          <w:sz w:val="24"/>
          <w:szCs w:val="24"/>
        </w:rPr>
        <w:t>），夜间噪声值为</w:t>
      </w:r>
      <w:r>
        <w:rPr>
          <w:rFonts w:ascii="Times New Roman" w:hAnsi="Times New Roman" w:eastAsia="宋体"/>
          <w:color w:val="000000"/>
          <w:sz w:val="24"/>
          <w:szCs w:val="24"/>
        </w:rPr>
        <w:t>34.6~38.3 dB</w:t>
      </w:r>
      <w:r>
        <w:rPr>
          <w:rFonts w:ascii="Times New Roman" w:hAnsi="宋体" w:eastAsia="宋体"/>
          <w:color w:val="000000"/>
          <w:sz w:val="24"/>
          <w:szCs w:val="24"/>
        </w:rPr>
        <w:t>（</w:t>
      </w:r>
      <w:r>
        <w:rPr>
          <w:rFonts w:ascii="Times New Roman" w:hAnsi="Times New Roman" w:eastAsia="宋体"/>
          <w:color w:val="000000"/>
          <w:sz w:val="24"/>
          <w:szCs w:val="24"/>
        </w:rPr>
        <w:t>A</w:t>
      </w:r>
      <w:r>
        <w:rPr>
          <w:rFonts w:ascii="Times New Roman" w:hAnsi="宋体" w:eastAsia="宋体"/>
          <w:color w:val="000000"/>
          <w:sz w:val="24"/>
          <w:szCs w:val="24"/>
        </w:rPr>
        <w:t>），均满足《工业企业厂界环境噪声排放标准》（</w:t>
      </w:r>
      <w:r>
        <w:rPr>
          <w:rFonts w:ascii="Times New Roman" w:hAnsi="Times New Roman" w:eastAsia="宋体"/>
          <w:color w:val="000000"/>
          <w:sz w:val="24"/>
          <w:szCs w:val="24"/>
        </w:rPr>
        <w:t>GB12348-2008</w:t>
      </w:r>
      <w:r>
        <w:rPr>
          <w:rFonts w:ascii="Times New Roman" w:hAnsi="宋体" w:eastAsia="宋体"/>
          <w:color w:val="000000"/>
          <w:sz w:val="24"/>
          <w:szCs w:val="24"/>
        </w:rPr>
        <w:t>）</w:t>
      </w:r>
      <w:r>
        <w:rPr>
          <w:rFonts w:ascii="Times New Roman" w:hAnsi="Times New Roman" w:eastAsia="宋体"/>
          <w:color w:val="000000"/>
          <w:sz w:val="24"/>
          <w:szCs w:val="24"/>
        </w:rPr>
        <w:t>2</w:t>
      </w:r>
      <w:r>
        <w:rPr>
          <w:rFonts w:ascii="Times New Roman" w:hAnsi="宋体" w:eastAsia="宋体"/>
          <w:color w:val="000000"/>
          <w:sz w:val="24"/>
          <w:szCs w:val="24"/>
        </w:rPr>
        <w:t>类标准</w:t>
      </w:r>
      <w:r>
        <w:rPr>
          <w:rFonts w:hint="eastAsia" w:ascii="Times New Roman" w:hAnsi="宋体" w:eastAsia="宋体"/>
          <w:color w:val="000000"/>
          <w:sz w:val="24"/>
          <w:szCs w:val="24"/>
          <w:lang w:eastAsia="zh-CN"/>
        </w:rPr>
        <w:t>。</w:t>
      </w:r>
    </w:p>
    <w:p>
      <w:pPr>
        <w:adjustRightInd/>
        <w:snapToGrid/>
        <w:spacing w:after="0" w:line="360" w:lineRule="auto"/>
        <w:rPr>
          <w:rFonts w:ascii="Times New Roman" w:hAnsi="Times New Roman" w:eastAsia="宋体"/>
          <w:b w:val="0"/>
          <w:bCs w:val="0"/>
          <w:color w:val="000000"/>
          <w:sz w:val="24"/>
          <w:szCs w:val="24"/>
        </w:rPr>
      </w:pPr>
      <w:r>
        <w:rPr>
          <w:rFonts w:hint="eastAsia" w:ascii="Times New Roman" w:hAnsi="Times New Roman" w:eastAsia="宋体"/>
          <w:b w:val="0"/>
          <w:bCs w:val="0"/>
          <w:color w:val="000000"/>
          <w:sz w:val="24"/>
          <w:szCs w:val="24"/>
          <w:lang w:eastAsia="zh-CN"/>
        </w:rPr>
        <w:t>（</w:t>
      </w:r>
      <w:r>
        <w:rPr>
          <w:rFonts w:hint="eastAsia" w:ascii="Times New Roman" w:hAnsi="Times New Roman" w:eastAsia="宋体"/>
          <w:b w:val="0"/>
          <w:bCs w:val="0"/>
          <w:color w:val="000000"/>
          <w:sz w:val="24"/>
          <w:szCs w:val="24"/>
          <w:lang w:val="en-US" w:eastAsia="zh-CN"/>
        </w:rPr>
        <w:t>4</w:t>
      </w:r>
      <w:r>
        <w:rPr>
          <w:rFonts w:hint="eastAsia" w:ascii="Times New Roman" w:hAnsi="Times New Roman" w:eastAsia="宋体"/>
          <w:b w:val="0"/>
          <w:bCs w:val="0"/>
          <w:color w:val="000000"/>
          <w:sz w:val="24"/>
          <w:szCs w:val="24"/>
          <w:lang w:eastAsia="zh-CN"/>
        </w:rPr>
        <w:t>）</w:t>
      </w:r>
      <w:r>
        <w:rPr>
          <w:rFonts w:ascii="Times New Roman" w:hAnsi="宋体" w:eastAsia="宋体"/>
          <w:b w:val="0"/>
          <w:bCs w:val="0"/>
          <w:color w:val="000000"/>
          <w:sz w:val="24"/>
          <w:szCs w:val="24"/>
        </w:rPr>
        <w:t>固体废弃物</w:t>
      </w:r>
    </w:p>
    <w:p>
      <w:pPr>
        <w:adjustRightInd/>
        <w:snapToGrid/>
        <w:spacing w:after="0" w:line="360" w:lineRule="auto"/>
        <w:ind w:firstLine="435"/>
        <w:rPr>
          <w:rFonts w:hint="eastAsia" w:ascii="Times New Roman" w:hAnsi="Times New Roman" w:eastAsia="宋体"/>
          <w:color w:val="000000"/>
          <w:sz w:val="24"/>
          <w:szCs w:val="24"/>
          <w:lang w:eastAsia="zh-CN"/>
        </w:rPr>
      </w:pPr>
      <w:r>
        <w:rPr>
          <w:rFonts w:ascii="Times New Roman" w:hAnsi="宋体" w:eastAsia="宋体"/>
          <w:b w:val="0"/>
          <w:bCs/>
          <w:color w:val="000000"/>
          <w:sz w:val="24"/>
          <w:szCs w:val="24"/>
        </w:rPr>
        <w:t>主要污染源：</w:t>
      </w:r>
      <w:r>
        <w:rPr>
          <w:rFonts w:hint="eastAsia" w:ascii="Times New Roman" w:hAnsi="宋体" w:eastAsia="宋体"/>
          <w:b w:val="0"/>
          <w:bCs/>
          <w:color w:val="000000"/>
          <w:sz w:val="24"/>
          <w:szCs w:val="24"/>
          <w:lang w:val="en-US" w:eastAsia="zh-CN"/>
        </w:rPr>
        <w:t>现有</w:t>
      </w:r>
      <w:r>
        <w:rPr>
          <w:rFonts w:ascii="Times New Roman" w:hAnsi="宋体" w:eastAsia="宋体"/>
          <w:color w:val="000000"/>
          <w:sz w:val="24"/>
          <w:szCs w:val="24"/>
        </w:rPr>
        <w:t>项目运营期间所开采的建筑用砂直接拉运外售，</w:t>
      </w:r>
      <w:r>
        <w:rPr>
          <w:rFonts w:hint="eastAsia" w:ascii="Times New Roman" w:hAnsi="宋体" w:eastAsia="宋体"/>
          <w:color w:val="000000"/>
          <w:sz w:val="24"/>
          <w:szCs w:val="24"/>
          <w:lang w:val="en-US" w:eastAsia="zh-CN"/>
        </w:rPr>
        <w:t>表土堆放于表土场，用于后期恢复治理覆土，</w:t>
      </w:r>
      <w:r>
        <w:rPr>
          <w:rFonts w:ascii="Times New Roman" w:hAnsi="宋体" w:eastAsia="宋体"/>
          <w:color w:val="000000"/>
          <w:sz w:val="24"/>
          <w:szCs w:val="24"/>
        </w:rPr>
        <w:t>无生产废料产生。主要固体废物为运营期职工生活垃圾。生活垃圾产生量约为</w:t>
      </w:r>
      <w:r>
        <w:rPr>
          <w:rFonts w:ascii="Times New Roman" w:hAnsi="Times New Roman" w:eastAsia="宋体"/>
          <w:color w:val="000000"/>
          <w:sz w:val="24"/>
          <w:szCs w:val="24"/>
        </w:rPr>
        <w:t>0.84t/a</w:t>
      </w:r>
      <w:r>
        <w:rPr>
          <w:rFonts w:hint="eastAsia" w:ascii="Times New Roman" w:hAnsi="Times New Roman" w:eastAsia="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宋体" w:eastAsia="宋体"/>
          <w:color w:val="000000"/>
          <w:sz w:val="24"/>
          <w:szCs w:val="24"/>
        </w:rPr>
      </w:pPr>
      <w:r>
        <w:rPr>
          <w:rFonts w:ascii="Times New Roman" w:hAnsi="宋体" w:eastAsia="宋体"/>
          <w:b/>
          <w:color w:val="000000"/>
          <w:sz w:val="24"/>
          <w:szCs w:val="24"/>
        </w:rPr>
        <w:t>处理措施：</w:t>
      </w:r>
      <w:r>
        <w:rPr>
          <w:rFonts w:ascii="Times New Roman" w:hAnsi="宋体" w:eastAsia="宋体"/>
          <w:color w:val="000000"/>
          <w:sz w:val="24"/>
          <w:szCs w:val="24"/>
        </w:rPr>
        <w:t>办公生活区设有垃圾收集桶，生活垃圾集中收集后运往朱日和镇垃圾收集点。</w:t>
      </w:r>
    </w:p>
    <w:p>
      <w:pPr>
        <w:adjustRightInd/>
        <w:snapToGrid/>
        <w:spacing w:after="0" w:line="360" w:lineRule="auto"/>
        <w:rPr>
          <w:rFonts w:ascii="Times New Roman" w:hAnsi="Times New Roman" w:eastAsia="宋体"/>
          <w:b w:val="0"/>
          <w:bCs w:val="0"/>
          <w:color w:val="000000"/>
          <w:sz w:val="24"/>
          <w:szCs w:val="24"/>
        </w:rPr>
      </w:pPr>
      <w:r>
        <w:rPr>
          <w:rFonts w:hint="eastAsia" w:ascii="Times New Roman" w:hAnsi="Times New Roman" w:eastAsia="宋体"/>
          <w:b w:val="0"/>
          <w:bCs w:val="0"/>
          <w:color w:val="000000"/>
          <w:sz w:val="24"/>
          <w:szCs w:val="24"/>
          <w:lang w:eastAsia="zh-CN"/>
        </w:rPr>
        <w:t>（</w:t>
      </w:r>
      <w:r>
        <w:rPr>
          <w:rFonts w:hint="eastAsia" w:ascii="Times New Roman" w:hAnsi="Times New Roman" w:eastAsia="宋体"/>
          <w:b w:val="0"/>
          <w:bCs w:val="0"/>
          <w:color w:val="000000"/>
          <w:sz w:val="24"/>
          <w:szCs w:val="24"/>
          <w:lang w:val="en-US" w:eastAsia="zh-CN"/>
        </w:rPr>
        <w:t>5</w:t>
      </w:r>
      <w:r>
        <w:rPr>
          <w:rFonts w:hint="eastAsia" w:ascii="Times New Roman" w:hAnsi="Times New Roman" w:eastAsia="宋体"/>
          <w:b w:val="0"/>
          <w:bCs w:val="0"/>
          <w:color w:val="000000"/>
          <w:sz w:val="24"/>
          <w:szCs w:val="24"/>
          <w:lang w:eastAsia="zh-CN"/>
        </w:rPr>
        <w:t>）</w:t>
      </w:r>
      <w:r>
        <w:rPr>
          <w:rFonts w:ascii="Times New Roman" w:hAnsi="宋体" w:eastAsia="宋体"/>
          <w:b w:val="0"/>
          <w:bCs w:val="0"/>
          <w:color w:val="000000"/>
          <w:sz w:val="24"/>
          <w:szCs w:val="24"/>
        </w:rPr>
        <w:t>生态环境</w:t>
      </w:r>
    </w:p>
    <w:p>
      <w:pPr>
        <w:adjustRightInd/>
        <w:snapToGrid/>
        <w:spacing w:after="0" w:line="360" w:lineRule="auto"/>
        <w:ind w:firstLine="435"/>
        <w:rPr>
          <w:rFonts w:ascii="Times New Roman" w:hAnsi="Times New Roman" w:eastAsia="宋体"/>
          <w:color w:val="000000"/>
          <w:sz w:val="24"/>
          <w:szCs w:val="24"/>
        </w:rPr>
      </w:pPr>
      <w:r>
        <w:rPr>
          <w:rFonts w:ascii="Times New Roman" w:hAnsi="Times New Roman" w:eastAsia="宋体"/>
          <w:color w:val="000000"/>
          <w:sz w:val="24"/>
          <w:szCs w:val="24"/>
        </w:rPr>
        <w:t>2019</w:t>
      </w:r>
      <w:r>
        <w:rPr>
          <w:rFonts w:ascii="Times New Roman" w:hAnsi="宋体" w:eastAsia="宋体"/>
          <w:color w:val="000000"/>
          <w:sz w:val="24"/>
          <w:szCs w:val="24"/>
        </w:rPr>
        <w:t>年</w:t>
      </w:r>
      <w:r>
        <w:rPr>
          <w:rFonts w:ascii="Times New Roman" w:hAnsi="Times New Roman" w:eastAsia="宋体"/>
          <w:color w:val="000000"/>
          <w:sz w:val="24"/>
          <w:szCs w:val="24"/>
        </w:rPr>
        <w:t>3</w:t>
      </w:r>
      <w:r>
        <w:rPr>
          <w:rFonts w:ascii="Times New Roman" w:hAnsi="宋体" w:eastAsia="宋体"/>
          <w:color w:val="000000"/>
          <w:sz w:val="24"/>
          <w:szCs w:val="24"/>
        </w:rPr>
        <w:t>月，苏尼特右旗世荣基建石料开采有限公司对巴润宝力格采砂场项目开展了矿山环境治理工程，对露天采坑进行了削坡平整（削坡至</w:t>
      </w:r>
      <w:r>
        <w:rPr>
          <w:rFonts w:ascii="Times New Roman" w:hAnsi="Times New Roman" w:eastAsia="宋体"/>
          <w:color w:val="000000"/>
          <w:sz w:val="24"/>
          <w:szCs w:val="24"/>
        </w:rPr>
        <w:t>25°</w:t>
      </w:r>
      <w:r>
        <w:rPr>
          <w:rFonts w:ascii="Times New Roman" w:hAnsi="宋体" w:eastAsia="宋体"/>
          <w:color w:val="000000"/>
          <w:sz w:val="24"/>
          <w:szCs w:val="24"/>
        </w:rPr>
        <w:t>），覆土绿化。撒播草籽工程量约</w:t>
      </w:r>
      <w:r>
        <w:rPr>
          <w:rFonts w:ascii="Times New Roman" w:hAnsi="Times New Roman" w:eastAsia="宋体"/>
          <w:color w:val="000000"/>
          <w:sz w:val="24"/>
          <w:szCs w:val="24"/>
        </w:rPr>
        <w:t>4700m</w:t>
      </w:r>
      <w:r>
        <w:rPr>
          <w:rFonts w:ascii="Times New Roman" w:hAnsi="Times New Roman" w:eastAsia="宋体"/>
          <w:color w:val="000000"/>
          <w:sz w:val="24"/>
          <w:szCs w:val="24"/>
          <w:vertAlign w:val="superscript"/>
        </w:rPr>
        <w:t>2</w:t>
      </w:r>
      <w:r>
        <w:rPr>
          <w:rFonts w:ascii="Times New Roman" w:hAnsi="宋体" w:eastAsia="宋体"/>
          <w:color w:val="000000"/>
          <w:sz w:val="24"/>
          <w:szCs w:val="24"/>
        </w:rPr>
        <w:t>。</w:t>
      </w:r>
    </w:p>
    <w:p>
      <w:pPr>
        <w:pStyle w:val="34"/>
        <w:spacing w:after="0"/>
        <w:ind w:left="0" w:leftChars="0" w:firstLine="450" w:firstLineChars="0"/>
        <w:rPr>
          <w:rFonts w:eastAsia="宋体"/>
          <w:color w:val="000000"/>
          <w:kern w:val="0"/>
          <w:sz w:val="24"/>
        </w:rPr>
      </w:pPr>
      <w:r>
        <w:rPr>
          <w:rFonts w:hAnsi="宋体" w:eastAsia="宋体"/>
          <w:color w:val="000000"/>
          <w:kern w:val="0"/>
          <w:sz w:val="24"/>
        </w:rPr>
        <w:t>采矿区西北侧设置表土堆场，并对其进行苫盖，目前剥离表土量约</w:t>
      </w:r>
      <w:r>
        <w:rPr>
          <w:rFonts w:hint="eastAsia" w:hAnsi="宋体" w:eastAsia="宋体"/>
          <w:color w:val="000000"/>
          <w:kern w:val="0"/>
          <w:sz w:val="24"/>
          <w:lang w:val="en-US" w:eastAsia="zh-CN"/>
        </w:rPr>
        <w:t>为</w:t>
      </w:r>
      <w:r>
        <w:rPr>
          <w:rFonts w:eastAsia="宋体"/>
          <w:color w:val="000000"/>
          <w:kern w:val="0"/>
          <w:sz w:val="24"/>
        </w:rPr>
        <w:t>500m</w:t>
      </w:r>
      <w:r>
        <w:rPr>
          <w:rFonts w:eastAsia="宋体"/>
          <w:color w:val="000000"/>
          <w:kern w:val="0"/>
          <w:sz w:val="24"/>
          <w:vertAlign w:val="superscript"/>
        </w:rPr>
        <w:t>3</w:t>
      </w:r>
      <w:r>
        <w:rPr>
          <w:rFonts w:hAnsi="宋体" w:eastAsia="宋体"/>
          <w:color w:val="000000"/>
          <w:kern w:val="0"/>
          <w:sz w:val="24"/>
        </w:rPr>
        <w:t>，用于闭矿后植被恢复。</w:t>
      </w:r>
    </w:p>
    <w:p>
      <w:pPr>
        <w:pStyle w:val="34"/>
        <w:spacing w:after="0"/>
        <w:ind w:left="0" w:leftChars="0" w:firstLine="450" w:firstLineChars="0"/>
        <w:rPr>
          <w:rFonts w:eastAsia="宋体"/>
          <w:color w:val="000000"/>
          <w:kern w:val="0"/>
          <w:sz w:val="24"/>
        </w:rPr>
      </w:pPr>
      <w:r>
        <w:rPr>
          <w:rFonts w:hAnsi="宋体" w:eastAsia="宋体"/>
          <w:color w:val="000000"/>
          <w:kern w:val="0"/>
          <w:sz w:val="24"/>
        </w:rPr>
        <w:t>矿区内连接路为砂石路面，总长约</w:t>
      </w:r>
      <w:r>
        <w:rPr>
          <w:rFonts w:eastAsia="宋体"/>
          <w:color w:val="000000"/>
          <w:kern w:val="0"/>
          <w:sz w:val="24"/>
        </w:rPr>
        <w:t>400m</w:t>
      </w:r>
      <w:r>
        <w:rPr>
          <w:rFonts w:hAnsi="宋体" w:eastAsia="宋体"/>
          <w:color w:val="000000"/>
          <w:kern w:val="0"/>
          <w:sz w:val="24"/>
        </w:rPr>
        <w:t>，宽</w:t>
      </w:r>
      <w:r>
        <w:rPr>
          <w:rFonts w:eastAsia="宋体"/>
          <w:color w:val="000000"/>
          <w:kern w:val="0"/>
          <w:sz w:val="24"/>
        </w:rPr>
        <w:t>3m</w:t>
      </w:r>
      <w:r>
        <w:rPr>
          <w:rFonts w:hAnsi="宋体" w:eastAsia="宋体"/>
          <w:color w:val="000000"/>
          <w:kern w:val="0"/>
          <w:sz w:val="24"/>
        </w:rPr>
        <w:t>。进场道路为企业自建砂石道路，长</w:t>
      </w:r>
      <w:r>
        <w:rPr>
          <w:rFonts w:eastAsia="宋体"/>
          <w:color w:val="000000"/>
          <w:kern w:val="0"/>
          <w:sz w:val="24"/>
        </w:rPr>
        <w:t>1km</w:t>
      </w:r>
      <w:r>
        <w:rPr>
          <w:rFonts w:hAnsi="宋体" w:eastAsia="宋体"/>
          <w:color w:val="000000"/>
          <w:kern w:val="0"/>
          <w:sz w:val="24"/>
        </w:rPr>
        <w:t>，宽</w:t>
      </w:r>
      <w:r>
        <w:rPr>
          <w:rFonts w:eastAsia="宋体"/>
          <w:color w:val="000000"/>
          <w:kern w:val="0"/>
          <w:sz w:val="24"/>
        </w:rPr>
        <w:t>6m</w:t>
      </w:r>
      <w:r>
        <w:rPr>
          <w:rFonts w:hAnsi="宋体" w:eastAsia="宋体"/>
          <w:color w:val="000000"/>
          <w:kern w:val="0"/>
          <w:sz w:val="24"/>
        </w:rPr>
        <w:t>，与中广核风电进站道路相连。</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FF0000"/>
          <w:sz w:val="28"/>
          <w:szCs w:val="28"/>
          <w:highlight w:val="none"/>
        </w:rPr>
      </w:pPr>
      <w:bookmarkStart w:id="88" w:name="_Toc8482"/>
      <w:r>
        <w:rPr>
          <w:rFonts w:ascii="Times New Roman" w:hAnsi="Times New Roman" w:eastAsia="宋体"/>
          <w:b/>
          <w:bCs w:val="0"/>
          <w:color w:val="FF0000"/>
          <w:sz w:val="28"/>
          <w:szCs w:val="28"/>
          <w:highlight w:val="none"/>
        </w:rPr>
        <w:t>3.1.</w:t>
      </w:r>
      <w:r>
        <w:rPr>
          <w:rFonts w:hint="eastAsia" w:eastAsia="宋体"/>
          <w:b/>
          <w:bCs w:val="0"/>
          <w:color w:val="FF0000"/>
          <w:sz w:val="28"/>
          <w:szCs w:val="28"/>
          <w:highlight w:val="none"/>
          <w:lang w:val="en-US" w:eastAsia="zh-CN"/>
        </w:rPr>
        <w:t>6</w:t>
      </w:r>
      <w:r>
        <w:rPr>
          <w:rFonts w:hint="eastAsia" w:ascii="Times New Roman" w:hAnsi="Times New Roman" w:eastAsia="宋体"/>
          <w:b/>
          <w:bCs w:val="0"/>
          <w:color w:val="FF0000"/>
          <w:sz w:val="28"/>
          <w:szCs w:val="28"/>
          <w:highlight w:val="none"/>
        </w:rPr>
        <w:t xml:space="preserve"> 现有环境问题及“以新带老”整治措施</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1</w:t>
      </w:r>
      <w:r>
        <w:rPr>
          <w:rFonts w:hint="eastAsia" w:eastAsia="宋体"/>
          <w:color w:val="FF0000"/>
          <w:highlight w:val="none"/>
          <w:lang w:eastAsia="zh-CN"/>
        </w:rPr>
        <w:t>）</w:t>
      </w:r>
      <w:r>
        <w:rPr>
          <w:rFonts w:hint="eastAsia" w:eastAsia="宋体"/>
          <w:color w:val="FF0000"/>
          <w:highlight w:val="none"/>
          <w:lang w:val="en-US" w:eastAsia="zh-CN"/>
        </w:rPr>
        <w:t>现有环境</w:t>
      </w:r>
      <w:r>
        <w:rPr>
          <w:rFonts w:hint="eastAsia" w:ascii="Times New Roman" w:hAnsi="Times New Roman" w:eastAsia="宋体"/>
          <w:color w:val="FF0000"/>
          <w:highlight w:val="none"/>
          <w:lang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highlight w:val="none"/>
          <w:lang w:val="en-US" w:eastAsia="zh-CN"/>
        </w:rPr>
      </w:pPr>
      <w:r>
        <w:rPr>
          <w:rFonts w:hint="eastAsia" w:eastAsia="宋体" w:cs="Times New Roman"/>
          <w:color w:val="FF0000"/>
          <w:highlight w:val="none"/>
          <w:lang w:val="en-US" w:eastAsia="zh-CN"/>
        </w:rPr>
        <w:t>① 现有项目采坑1北侧存在越界开采问题。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highlight w:val="none"/>
          <w:lang w:val="en-US" w:eastAsia="zh-CN"/>
        </w:rPr>
      </w:pPr>
      <w:r>
        <w:rPr>
          <w:rFonts w:hint="eastAsia" w:eastAsia="宋体" w:cs="Times New Roman"/>
          <w:color w:val="FF0000"/>
          <w:highlight w:val="none"/>
          <w:lang w:val="en-US" w:eastAsia="zh-CN"/>
        </w:rPr>
        <w:t>②采坑1未完成恢复治理。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highlight w:val="none"/>
          <w:lang w:val="en-US" w:eastAsia="zh-CN"/>
        </w:rPr>
      </w:pPr>
      <w:r>
        <w:rPr>
          <w:rFonts w:hint="eastAsia" w:eastAsia="宋体" w:cs="Times New Roman"/>
          <w:color w:val="FF0000"/>
          <w:highlight w:val="none"/>
          <w:lang w:val="en-US" w:eastAsia="zh-CN"/>
        </w:rPr>
        <w:t>③采坑2北侧形成75~85°斜坡。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④采矿证现有范围内，东北部有26667m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区域地表标高高于开采区域1146m以上，该区域最高1152.98~1146m之间存在压覆矿问题。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⑤职工生活使用旱厕。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val="en-US" w:eastAsia="zh-CN"/>
        </w:rPr>
      </w:pPr>
      <w:r>
        <w:rPr>
          <w:rFonts w:hint="eastAsia" w:eastAsia="宋体" w:cs="Times New Roman"/>
          <w:color w:val="FF0000"/>
          <w:highlight w:val="none"/>
          <w:lang w:val="en-US" w:eastAsia="zh-CN"/>
        </w:rPr>
        <w:t>⑥</w:t>
      </w:r>
      <w:r>
        <w:rPr>
          <w:rFonts w:hint="eastAsia" w:ascii="Times New Roman" w:hAnsi="Times New Roman" w:eastAsia="宋体" w:cs="Times New Roman"/>
          <w:color w:val="FF0000"/>
          <w:highlight w:val="none"/>
          <w:lang w:val="en-US" w:eastAsia="zh-CN"/>
        </w:rPr>
        <w:t>根据2019年10月《苏尼特右旗巴润宝力格采砂场项目竣工环境保护验收调查报告》，现有项目现状不存在环境污染问题，但是生态恢复治理工程需要进一步推进，已完成采坑</w:t>
      </w:r>
      <w:r>
        <w:rPr>
          <w:rFonts w:hint="eastAsia" w:eastAsia="宋体" w:cs="Times New Roman"/>
          <w:color w:val="FF0000"/>
          <w:highlight w:val="none"/>
          <w:lang w:val="en-US" w:eastAsia="zh-CN"/>
        </w:rPr>
        <w:t>1部分</w:t>
      </w:r>
      <w:r>
        <w:rPr>
          <w:rFonts w:hint="eastAsia" w:ascii="Times New Roman" w:hAnsi="Times New Roman" w:eastAsia="宋体" w:cs="Times New Roman"/>
          <w:color w:val="FF0000"/>
          <w:highlight w:val="none"/>
          <w:lang w:val="en-US" w:eastAsia="zh-CN"/>
        </w:rPr>
        <w:t>、排土场、</w:t>
      </w:r>
      <w:r>
        <w:rPr>
          <w:rFonts w:hint="eastAsia" w:eastAsia="宋体" w:cs="Times New Roman"/>
          <w:color w:val="FF0000"/>
          <w:highlight w:val="none"/>
          <w:lang w:val="en-US" w:eastAsia="zh-CN"/>
        </w:rPr>
        <w:t>越界开采区</w:t>
      </w:r>
      <w:r>
        <w:rPr>
          <w:rFonts w:hint="eastAsia" w:ascii="Times New Roman" w:hAnsi="Times New Roman" w:eastAsia="宋体" w:cs="Times New Roman"/>
          <w:color w:val="FF0000"/>
          <w:highlight w:val="none"/>
          <w:lang w:val="en-US" w:eastAsia="zh-CN"/>
        </w:rPr>
        <w:t>、生活区南侧的削坡、平整、覆土和播撒草籽。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（2）整改措施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s="Times New Roman"/>
          <w:color w:val="FF0000"/>
          <w:highlight w:val="none"/>
          <w:lang w:val="en-US" w:eastAsia="zh-CN"/>
        </w:rPr>
        <w:t>①建设单位已于2019年6月24日缴纳越界开采罚款，越界开采区域已完成植被恢复。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②采坑1将利用本项目产生的弃土和底泥进行回填，回填满后利用表土覆土后，播撒草籽绿化，草种选择主要有披肩草、紫花苜蓿、冰草、油菜籽等混合草籽。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③采坑2北侧采空区作为本项目成品料堆场使用，待采坑1完成回填后，将采坑2采空区作为弃土和底泥回填区进行回填、削坡、平整、覆土、播撒草籽等恢复治理，利用采坑2形成的新的采空区作为成品料堆场。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④建设单位正在办理采矿权限范围。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⑤建设单位新建化粪池，用于生活污水收集。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FF0000"/>
          <w:highlight w:val="none"/>
        </w:rPr>
      </w:pPr>
      <w:r>
        <w:rPr>
          <w:rFonts w:hint="eastAsia" w:eastAsia="宋体" w:cs="Times New Roman"/>
          <w:color w:val="FF0000"/>
          <w:highlight w:val="none"/>
          <w:lang w:val="en-US" w:eastAsia="zh-CN"/>
        </w:rPr>
        <w:t>⑥</w:t>
      </w:r>
      <w:r>
        <w:rPr>
          <w:rFonts w:hint="eastAsia" w:eastAsia="宋体"/>
          <w:color w:val="FF0000"/>
          <w:highlight w:val="none"/>
          <w:lang w:val="en-US" w:eastAsia="zh-CN"/>
        </w:rPr>
        <w:t>对已恢复区域继续进行养护，</w:t>
      </w:r>
      <w:r>
        <w:rPr>
          <w:rFonts w:hint="eastAsia" w:ascii="Times New Roman" w:hAnsi="Times New Roman" w:eastAsia="宋体"/>
          <w:color w:val="FF0000"/>
          <w:highlight w:val="none"/>
          <w:lang w:val="en-US" w:eastAsia="zh-CN"/>
        </w:rPr>
        <w:t>利用采矿废石改善运输道路，部分工程地质条件不良路段应砌筑护坡，定时洒水降尘；裸露地表</w:t>
      </w:r>
      <w:r>
        <w:rPr>
          <w:rFonts w:hint="eastAsia" w:eastAsia="宋体"/>
          <w:color w:val="FF0000"/>
          <w:highlight w:val="none"/>
          <w:lang w:val="en-US" w:eastAsia="zh-CN"/>
        </w:rPr>
        <w:t>继续</w:t>
      </w:r>
      <w:r>
        <w:rPr>
          <w:rFonts w:hint="eastAsia" w:ascii="Times New Roman" w:hAnsi="Times New Roman" w:eastAsia="宋体"/>
          <w:color w:val="FF0000"/>
          <w:highlight w:val="none"/>
          <w:lang w:val="en-US" w:eastAsia="zh-CN"/>
        </w:rPr>
        <w:t>进行平整和植被恢复。</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color w:val="auto"/>
          <w:highlight w:val="none"/>
          <w:lang w:val="en-US" w:eastAsia="zh-CN"/>
        </w:rPr>
      </w:pPr>
      <w:r>
        <w:rPr>
          <w:rFonts w:hint="eastAsia" w:eastAsia="宋体"/>
          <w:b/>
          <w:bCs/>
          <w:color w:val="auto"/>
          <w:highlight w:val="none"/>
          <w:lang w:val="en-US" w:eastAsia="zh-CN"/>
        </w:rPr>
        <w:t>表3.1-3 各区域现状</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9"/>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486660" cy="1865630"/>
                  <wp:effectExtent l="0" t="0" r="8890" b="1270"/>
                  <wp:docPr id="34" name="图片 34" descr="8e913e3430284e5cbd0abb51fc1e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e913e3430284e5cbd0abb51fc1ebfd"/>
                          <pic:cNvPicPr>
                            <a:picLocks noChangeAspect="1"/>
                          </pic:cNvPicPr>
                        </pic:nvPicPr>
                        <pic:blipFill>
                          <a:blip r:embed="rId29"/>
                          <a:stretch>
                            <a:fillRect/>
                          </a:stretch>
                        </pic:blipFill>
                        <pic:spPr>
                          <a:xfrm>
                            <a:off x="0" y="0"/>
                            <a:ext cx="2486660" cy="1865630"/>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668905" cy="2002155"/>
                  <wp:effectExtent l="0" t="0" r="17145" b="17145"/>
                  <wp:docPr id="3" name="图片 3" descr="5e18afff0e3f001dc8e999ba623a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e18afff0e3f001dc8e999ba623a02c"/>
                          <pic:cNvPicPr>
                            <a:picLocks noChangeAspect="1"/>
                          </pic:cNvPicPr>
                        </pic:nvPicPr>
                        <pic:blipFill>
                          <a:blip r:embed="rId30"/>
                          <a:stretch>
                            <a:fillRect/>
                          </a:stretch>
                        </pic:blipFill>
                        <pic:spPr>
                          <a:xfrm>
                            <a:off x="0" y="0"/>
                            <a:ext cx="2668905" cy="2002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vertAlign w:val="baseline"/>
                <w:lang w:val="en-US" w:eastAsia="zh-CN"/>
              </w:rPr>
            </w:pPr>
            <w:r>
              <w:rPr>
                <w:rFonts w:hint="eastAsia" w:eastAsia="宋体"/>
                <w:color w:val="auto"/>
                <w:highlight w:val="none"/>
                <w:vertAlign w:val="baseline"/>
                <w:lang w:val="en-US" w:eastAsia="zh-CN"/>
              </w:rPr>
              <w:t>采坑1北侧边坡恢复现状</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Times New Roman" w:hAnsi="Times New Roman" w:eastAsia="宋体"/>
                <w:color w:val="auto"/>
                <w:highlight w:val="none"/>
                <w:vertAlign w:val="baseline"/>
              </w:rPr>
            </w:pPr>
            <w:r>
              <w:rPr>
                <w:rFonts w:hint="eastAsia" w:eastAsia="宋体"/>
                <w:color w:val="auto"/>
                <w:highlight w:val="none"/>
                <w:vertAlign w:val="baseline"/>
                <w:lang w:val="en-US" w:eastAsia="zh-CN"/>
              </w:rPr>
              <w:t>采坑1北侧边坡恢复现状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496185" cy="1871980"/>
                  <wp:effectExtent l="0" t="0" r="18415" b="13970"/>
                  <wp:docPr id="9" name="图片 9" descr="f5a2f5811f02e08e5e27d300e13c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5a2f5811f02e08e5e27d300e13c9e7"/>
                          <pic:cNvPicPr>
                            <a:picLocks noChangeAspect="1"/>
                          </pic:cNvPicPr>
                        </pic:nvPicPr>
                        <pic:blipFill>
                          <a:blip r:embed="rId31"/>
                          <a:stretch>
                            <a:fillRect/>
                          </a:stretch>
                        </pic:blipFill>
                        <pic:spPr>
                          <a:xfrm>
                            <a:off x="0" y="0"/>
                            <a:ext cx="2496185" cy="1871980"/>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620010" cy="1964690"/>
                  <wp:effectExtent l="0" t="0" r="8890" b="16510"/>
                  <wp:docPr id="33" name="图片 33" descr="f0d675c922950e77b24af6192277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0d675c922950e77b24af6192277c9f"/>
                          <pic:cNvPicPr>
                            <a:picLocks noChangeAspect="1"/>
                          </pic:cNvPicPr>
                        </pic:nvPicPr>
                        <pic:blipFill>
                          <a:blip r:embed="rId32"/>
                          <a:stretch>
                            <a:fillRect/>
                          </a:stretch>
                        </pic:blipFill>
                        <pic:spPr>
                          <a:xfrm>
                            <a:off x="0" y="0"/>
                            <a:ext cx="2620010" cy="1964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vertAlign w:val="baseline"/>
                <w:lang w:val="en-US" w:eastAsia="zh-CN"/>
              </w:rPr>
            </w:pPr>
            <w:r>
              <w:rPr>
                <w:rFonts w:hint="eastAsia" w:eastAsia="宋体"/>
                <w:color w:val="auto"/>
                <w:highlight w:val="none"/>
                <w:vertAlign w:val="baseline"/>
                <w:lang w:val="en-US" w:eastAsia="zh-CN"/>
              </w:rPr>
              <w:t>排土场恢复现状</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Times New Roman" w:hAnsi="Times New Roman" w:eastAsia="宋体"/>
                <w:color w:val="auto"/>
                <w:highlight w:val="none"/>
                <w:vertAlign w:val="baseline"/>
              </w:rPr>
            </w:pPr>
            <w:r>
              <w:rPr>
                <w:rFonts w:hint="eastAsia" w:eastAsia="宋体"/>
                <w:color w:val="auto"/>
                <w:highlight w:val="none"/>
                <w:vertAlign w:val="baseline"/>
                <w:lang w:val="en-US" w:eastAsia="zh-CN"/>
              </w:rPr>
              <w:t>排土场恢复现状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highlight w:val="none"/>
                <w:vertAlign w:val="baseline"/>
                <w:lang w:val="en-US" w:eastAsia="zh-CN"/>
              </w:rPr>
            </w:pPr>
            <w:r>
              <w:rPr>
                <w:rFonts w:hint="eastAsia" w:eastAsia="宋体"/>
                <w:color w:val="auto"/>
                <w:highlight w:val="none"/>
                <w:vertAlign w:val="baseline"/>
                <w:lang w:val="en-US" w:eastAsia="zh-CN"/>
              </w:rPr>
              <w:drawing>
                <wp:inline distT="0" distB="0" distL="114300" distR="114300">
                  <wp:extent cx="2496185" cy="1871980"/>
                  <wp:effectExtent l="0" t="0" r="18415" b="13970"/>
                  <wp:docPr id="25" name="图片 25" descr="db251720247c883eb5630a5d54a1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b251720247c883eb5630a5d54a13e7"/>
                          <pic:cNvPicPr>
                            <a:picLocks noChangeAspect="1"/>
                          </pic:cNvPicPr>
                        </pic:nvPicPr>
                        <pic:blipFill>
                          <a:blip r:embed="rId33"/>
                          <a:stretch>
                            <a:fillRect/>
                          </a:stretch>
                        </pic:blipFill>
                        <pic:spPr>
                          <a:xfrm>
                            <a:off x="0" y="0"/>
                            <a:ext cx="2496185" cy="1871980"/>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620010" cy="1964690"/>
                  <wp:effectExtent l="0" t="0" r="8890" b="16510"/>
                  <wp:docPr id="32" name="图片 32" descr="42a7095c2cfbab7460fc5a3485c3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2a7095c2cfbab7460fc5a3485c3ea6"/>
                          <pic:cNvPicPr>
                            <a:picLocks noChangeAspect="1"/>
                          </pic:cNvPicPr>
                        </pic:nvPicPr>
                        <pic:blipFill>
                          <a:blip r:embed="rId34"/>
                          <a:stretch>
                            <a:fillRect/>
                          </a:stretch>
                        </pic:blipFill>
                        <pic:spPr>
                          <a:xfrm>
                            <a:off x="0" y="0"/>
                            <a:ext cx="2620010" cy="1964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越界开采区恢复现状</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Times New Roman" w:hAnsi="Times New Roman" w:eastAsia="宋体"/>
                <w:color w:val="auto"/>
                <w:highlight w:val="none"/>
                <w:vertAlign w:val="baseline"/>
              </w:rPr>
            </w:pPr>
            <w:r>
              <w:rPr>
                <w:rFonts w:hint="eastAsia" w:eastAsia="宋体"/>
                <w:color w:val="auto"/>
                <w:highlight w:val="none"/>
                <w:vertAlign w:val="baseline"/>
                <w:lang w:val="en-US" w:eastAsia="zh-CN"/>
              </w:rPr>
              <w:t>越界开采区恢复现状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highlight w:val="none"/>
                <w:vertAlign w:val="baseline"/>
                <w:lang w:val="en-US" w:eastAsia="zh-CN"/>
              </w:rPr>
            </w:pPr>
            <w:r>
              <w:rPr>
                <w:rFonts w:hint="eastAsia" w:eastAsia="宋体"/>
                <w:color w:val="auto"/>
                <w:highlight w:val="none"/>
                <w:vertAlign w:val="baseline"/>
                <w:lang w:val="en-US" w:eastAsia="zh-CN"/>
              </w:rPr>
              <w:drawing>
                <wp:inline distT="0" distB="0" distL="114300" distR="114300">
                  <wp:extent cx="2650490" cy="1988185"/>
                  <wp:effectExtent l="0" t="0" r="16510" b="12065"/>
                  <wp:docPr id="35" name="图片 35" descr="cb8b810f80c05f9750d8bbfb9df0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b8b810f80c05f9750d8bbfb9df03ca"/>
                          <pic:cNvPicPr>
                            <a:picLocks noChangeAspect="1"/>
                          </pic:cNvPicPr>
                        </pic:nvPicPr>
                        <pic:blipFill>
                          <a:blip r:embed="rId35"/>
                          <a:stretch>
                            <a:fillRect/>
                          </a:stretch>
                        </pic:blipFill>
                        <pic:spPr>
                          <a:xfrm>
                            <a:off x="0" y="0"/>
                            <a:ext cx="2650490" cy="1988185"/>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highlight w:val="none"/>
                <w:vertAlign w:val="baseline"/>
                <w:lang w:val="en-US" w:eastAsia="zh-CN"/>
              </w:rPr>
            </w:pPr>
            <w:r>
              <w:rPr>
                <w:rFonts w:eastAsia="宋体"/>
              </w:rPr>
              <w:drawing>
                <wp:inline distT="0" distB="0" distL="114300" distR="114300">
                  <wp:extent cx="2730500" cy="2063750"/>
                  <wp:effectExtent l="0" t="0" r="12700" b="12700"/>
                  <wp:docPr id="30" name="图片 11" descr="微信图片_2019070218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微信图片_20190702181221"/>
                          <pic:cNvPicPr>
                            <a:picLocks noChangeAspect="1"/>
                          </pic:cNvPicPr>
                        </pic:nvPicPr>
                        <pic:blipFill>
                          <a:blip r:embed="rId36"/>
                          <a:stretch>
                            <a:fillRect/>
                          </a:stretch>
                        </pic:blipFill>
                        <pic:spPr>
                          <a:xfrm>
                            <a:off x="0" y="0"/>
                            <a:ext cx="2730500" cy="2063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采坑1未恢复治理区</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矿坑2雾炮机</w:t>
            </w:r>
          </w:p>
        </w:tc>
      </w:tr>
    </w:tbl>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eastAsia="宋体"/>
          <w:color w:val="auto"/>
          <w:highlight w:val="yellow"/>
        </w:rPr>
      </w:pP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eastAsia="宋体"/>
          <w:color w:val="auto"/>
          <w:highlight w:val="yellow"/>
        </w:rPr>
      </w:pPr>
      <w:r>
        <w:rPr>
          <w:rFonts w:ascii="Times New Roman" w:hAnsi="Times New Roman" w:eastAsia="宋体"/>
          <w:color w:val="auto"/>
          <w:highlight w:val="yellow"/>
        </w:rPr>
        <w:br w:type="page"/>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89" w:name="_Toc17842"/>
      <w:r>
        <w:rPr>
          <w:rFonts w:hint="eastAsia" w:ascii="Times New Roman" w:hAnsi="Times New Roman" w:eastAsia="宋体"/>
          <w:b/>
          <w:bCs w:val="0"/>
          <w:color w:val="auto"/>
          <w:highlight w:val="none"/>
        </w:rPr>
        <w:t xml:space="preserve">3.2 </w:t>
      </w:r>
      <w:r>
        <w:rPr>
          <w:rFonts w:hint="eastAsia" w:eastAsia="宋体"/>
          <w:b/>
          <w:bCs w:val="0"/>
          <w:color w:val="auto"/>
          <w:highlight w:val="none"/>
          <w:lang w:val="en-US" w:eastAsia="zh-CN"/>
        </w:rPr>
        <w:t>扩建</w:t>
      </w:r>
      <w:r>
        <w:rPr>
          <w:rFonts w:hint="eastAsia" w:ascii="Times New Roman" w:hAnsi="Times New Roman" w:eastAsia="宋体"/>
          <w:b/>
          <w:bCs w:val="0"/>
          <w:color w:val="auto"/>
          <w:highlight w:val="none"/>
          <w:lang w:val="en-US" w:eastAsia="zh-CN"/>
        </w:rPr>
        <w:t>项目工程概况</w:t>
      </w:r>
      <w:bookmarkEnd w:id="89"/>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28"/>
          <w:szCs w:val="28"/>
          <w:highlight w:val="none"/>
        </w:rPr>
      </w:pPr>
      <w:bookmarkStart w:id="90" w:name="_Toc170"/>
      <w:r>
        <w:rPr>
          <w:rFonts w:hint="eastAsia" w:ascii="Times New Roman" w:hAnsi="Times New Roman" w:eastAsia="宋体"/>
          <w:b/>
          <w:bCs w:val="0"/>
          <w:color w:val="auto"/>
          <w:sz w:val="28"/>
          <w:szCs w:val="28"/>
          <w:highlight w:val="none"/>
          <w:lang w:val="en-US" w:eastAsia="zh-CN"/>
        </w:rPr>
        <w:t>3</w:t>
      </w:r>
      <w:r>
        <w:rPr>
          <w:rFonts w:hint="eastAsia" w:ascii="Times New Roman" w:hAnsi="Times New Roman" w:eastAsia="宋体"/>
          <w:b/>
          <w:bCs w:val="0"/>
          <w:color w:val="auto"/>
          <w:sz w:val="28"/>
          <w:szCs w:val="28"/>
          <w:highlight w:val="none"/>
        </w:rPr>
        <w:t>.</w:t>
      </w:r>
      <w:r>
        <w:rPr>
          <w:rFonts w:hint="eastAsia" w:ascii="Times New Roman" w:hAnsi="Times New Roman" w:eastAsia="宋体"/>
          <w:b/>
          <w:bCs w:val="0"/>
          <w:color w:val="auto"/>
          <w:sz w:val="28"/>
          <w:szCs w:val="28"/>
          <w:highlight w:val="none"/>
          <w:lang w:val="en-US" w:eastAsia="zh-CN"/>
        </w:rPr>
        <w:t>2</w:t>
      </w:r>
      <w:r>
        <w:rPr>
          <w:rFonts w:hint="eastAsia" w:ascii="Times New Roman" w:hAnsi="Times New Roman" w:eastAsia="宋体"/>
          <w:b/>
          <w:bCs w:val="0"/>
          <w:color w:val="auto"/>
          <w:sz w:val="28"/>
          <w:szCs w:val="28"/>
          <w:highlight w:val="none"/>
        </w:rPr>
        <w:t>.1</w:t>
      </w:r>
      <w:r>
        <w:rPr>
          <w:rFonts w:ascii="Times New Roman" w:hAnsi="Times New Roman" w:eastAsia="宋体"/>
          <w:b/>
          <w:bCs w:val="0"/>
          <w:color w:val="auto"/>
          <w:sz w:val="28"/>
          <w:szCs w:val="28"/>
          <w:highlight w:val="none"/>
        </w:rPr>
        <w:t>项目名称及建设性质</w:t>
      </w:r>
      <w:bookmarkEnd w:id="9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rPr>
      </w:pPr>
      <w:r>
        <w:rPr>
          <w:rFonts w:ascii="Times New Roman" w:hAnsi="Times New Roman" w:eastAsia="宋体"/>
          <w:color w:val="auto"/>
          <w:highlight w:val="none"/>
        </w:rPr>
        <w:t>项目名称</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扩建</w:t>
      </w:r>
      <w:r>
        <w:rPr>
          <w:rFonts w:hint="eastAsia" w:ascii="Times New Roman" w:hAnsi="Times New Roman" w:eastAsia="宋体"/>
          <w:color w:val="auto"/>
          <w:highlight w:val="none"/>
          <w:lang w:eastAsia="zh-CN"/>
        </w:rPr>
        <w:t>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lang w:eastAsia="zh-CN"/>
        </w:rPr>
      </w:pPr>
      <w:r>
        <w:rPr>
          <w:rFonts w:ascii="Times New Roman" w:hAnsi="Times New Roman" w:eastAsia="宋体"/>
          <w:color w:val="auto"/>
          <w:highlight w:val="none"/>
        </w:rPr>
        <w:t>建设性质：</w:t>
      </w:r>
      <w:r>
        <w:rPr>
          <w:rFonts w:hint="eastAsia" w:eastAsia="宋体"/>
          <w:color w:val="auto"/>
          <w:highlight w:val="none"/>
          <w:lang w:val="en-US" w:eastAsia="zh-CN"/>
        </w:rPr>
        <w:t>扩建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lang w:eastAsia="zh-CN"/>
        </w:rPr>
      </w:pPr>
      <w:r>
        <w:rPr>
          <w:rFonts w:ascii="Times New Roman" w:hAnsi="Times New Roman" w:eastAsia="宋体"/>
          <w:color w:val="auto"/>
          <w:highlight w:val="none"/>
        </w:rPr>
        <w:t>建设单位：</w:t>
      </w:r>
      <w:r>
        <w:rPr>
          <w:rFonts w:hint="eastAsia" w:ascii="Times New Roman" w:hAnsi="Times New Roman" w:eastAsia="宋体"/>
          <w:color w:val="auto"/>
          <w:highlight w:val="none"/>
        </w:rPr>
        <w:t>苏尼特右旗世荣基建石料开采有限责任公司</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91" w:name="_Toc2045"/>
      <w:r>
        <w:rPr>
          <w:rFonts w:hint="eastAsia" w:ascii="Times New Roman" w:hAnsi="Times New Roman" w:eastAsia="宋体"/>
          <w:b/>
          <w:bCs w:val="0"/>
          <w:color w:val="auto"/>
          <w:sz w:val="28"/>
          <w:szCs w:val="28"/>
          <w:highlight w:val="none"/>
          <w:lang w:val="en-US" w:eastAsia="zh-CN"/>
        </w:rPr>
        <w:t>3.2.2建设地点</w:t>
      </w:r>
      <w:bookmarkEnd w:id="9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苏尼特右旗镇府所在地赛汉塔拉镇东南约50km处，隶属</w:t>
      </w:r>
      <w:r>
        <w:rPr>
          <w:rFonts w:hint="eastAsia" w:eastAsia="宋体"/>
          <w:color w:val="auto"/>
          <w:highlight w:val="none"/>
          <w:lang w:val="en-US" w:eastAsia="zh-CN"/>
        </w:rPr>
        <w:t>朱日和镇</w:t>
      </w:r>
      <w:r>
        <w:rPr>
          <w:rFonts w:hint="eastAsia" w:ascii="Times New Roman" w:hAnsi="Times New Roman" w:eastAsia="宋体"/>
          <w:color w:val="auto"/>
          <w:highlight w:val="none"/>
        </w:rPr>
        <w:t>所管辖。矿区地理位置：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东经</w:t>
      </w:r>
      <w:r>
        <w:rPr>
          <w:rFonts w:hint="default" w:ascii="Times New Roman" w:hAnsi="Times New Roman" w:eastAsia="宋体"/>
          <w:color w:val="auto"/>
          <w:highlight w:val="none"/>
        </w:rPr>
        <w:t>11</w:t>
      </w:r>
      <w:r>
        <w:rPr>
          <w:rFonts w:hint="eastAsia" w:eastAsia="宋体"/>
          <w:color w:val="auto"/>
          <w:highlight w:val="none"/>
          <w:lang w:val="en-US" w:eastAsia="zh-CN"/>
        </w:rPr>
        <w:t>2</w:t>
      </w:r>
      <w:r>
        <w:rPr>
          <w:rFonts w:hint="default" w:ascii="Times New Roman" w:hAnsi="Times New Roman" w:eastAsia="宋体"/>
          <w:color w:val="auto"/>
          <w:highlight w:val="none"/>
        </w:rPr>
        <w:t>°</w:t>
      </w:r>
      <w:r>
        <w:rPr>
          <w:rFonts w:hint="eastAsia" w:eastAsia="宋体"/>
          <w:color w:val="auto"/>
          <w:highlight w:val="none"/>
          <w:lang w:val="en-US" w:eastAsia="zh-CN"/>
        </w:rPr>
        <w:t>51</w:t>
      </w:r>
      <w:r>
        <w:rPr>
          <w:rFonts w:hint="default" w:ascii="Times New Roman" w:hAnsi="Times New Roman" w:eastAsia="宋体"/>
          <w:color w:val="auto"/>
          <w:highlight w:val="none"/>
        </w:rPr>
        <w:t>′</w:t>
      </w:r>
      <w:r>
        <w:rPr>
          <w:rFonts w:hint="eastAsia" w:eastAsia="宋体"/>
          <w:color w:val="auto"/>
          <w:highlight w:val="none"/>
          <w:lang w:val="en-US" w:eastAsia="zh-CN"/>
        </w:rPr>
        <w:t>36</w:t>
      </w:r>
      <w:r>
        <w:rPr>
          <w:rFonts w:hint="default" w:ascii="Times New Roman" w:hAnsi="Times New Roman" w:eastAsia="宋体"/>
          <w:color w:val="auto"/>
          <w:highlight w:val="none"/>
        </w:rPr>
        <w:t>″</w:t>
      </w:r>
      <w:r>
        <w:rPr>
          <w:rFonts w:hint="eastAsia" w:ascii="Times New Roman" w:hAnsi="Times New Roman" w:eastAsia="宋体"/>
          <w:color w:val="auto"/>
          <w:highlight w:val="none"/>
        </w:rPr>
        <w:t>～</w:t>
      </w:r>
      <w:r>
        <w:rPr>
          <w:rFonts w:hint="default" w:ascii="Times New Roman" w:hAnsi="Times New Roman" w:eastAsia="宋体"/>
          <w:color w:val="auto"/>
          <w:highlight w:val="none"/>
        </w:rPr>
        <w:t>11</w:t>
      </w:r>
      <w:r>
        <w:rPr>
          <w:rFonts w:hint="eastAsia" w:eastAsia="宋体"/>
          <w:color w:val="auto"/>
          <w:highlight w:val="none"/>
          <w:lang w:val="en-US" w:eastAsia="zh-CN"/>
        </w:rPr>
        <w:t>2</w:t>
      </w:r>
      <w:r>
        <w:rPr>
          <w:rFonts w:hint="default" w:ascii="Times New Roman" w:hAnsi="Times New Roman" w:eastAsia="宋体"/>
          <w:color w:val="auto"/>
          <w:highlight w:val="none"/>
        </w:rPr>
        <w:t>°</w:t>
      </w:r>
      <w:r>
        <w:rPr>
          <w:rFonts w:hint="eastAsia" w:eastAsia="宋体"/>
          <w:color w:val="auto"/>
          <w:highlight w:val="none"/>
          <w:lang w:val="en-US" w:eastAsia="zh-CN"/>
        </w:rPr>
        <w:t>51</w:t>
      </w:r>
      <w:r>
        <w:rPr>
          <w:rFonts w:hint="default" w:ascii="Times New Roman" w:hAnsi="Times New Roman" w:eastAsia="宋体"/>
          <w:color w:val="auto"/>
          <w:highlight w:val="none"/>
        </w:rPr>
        <w:t>′</w:t>
      </w:r>
      <w:r>
        <w:rPr>
          <w:rFonts w:hint="eastAsia" w:eastAsia="宋体"/>
          <w:color w:val="auto"/>
          <w:highlight w:val="none"/>
          <w:lang w:val="en-US" w:eastAsia="zh-CN"/>
        </w:rPr>
        <w:t>56</w:t>
      </w:r>
      <w:r>
        <w:rPr>
          <w:rFonts w:hint="default" w:ascii="Times New Roman" w:hAnsi="Times New Roman" w:eastAsia="宋体"/>
          <w:color w:val="auto"/>
          <w:highlight w:val="none"/>
        </w:rPr>
        <w:t>″</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rPr>
        <w:t>北纬</w:t>
      </w:r>
      <w:r>
        <w:rPr>
          <w:rFonts w:hint="default" w:ascii="Times New Roman" w:hAnsi="Times New Roman" w:eastAsia="宋体"/>
          <w:color w:val="auto"/>
          <w:highlight w:val="none"/>
        </w:rPr>
        <w:t>42°</w:t>
      </w:r>
      <w:r>
        <w:rPr>
          <w:rFonts w:hint="eastAsia" w:eastAsia="宋体"/>
          <w:color w:val="auto"/>
          <w:highlight w:val="none"/>
          <w:lang w:val="en-US" w:eastAsia="zh-CN"/>
        </w:rPr>
        <w:t>28</w:t>
      </w:r>
      <w:r>
        <w:rPr>
          <w:rFonts w:hint="default" w:ascii="Times New Roman" w:hAnsi="Times New Roman" w:eastAsia="宋体"/>
          <w:color w:val="auto"/>
          <w:highlight w:val="none"/>
        </w:rPr>
        <w:t>′</w:t>
      </w:r>
      <w:r>
        <w:rPr>
          <w:rFonts w:hint="eastAsia" w:eastAsia="宋体"/>
          <w:color w:val="auto"/>
          <w:highlight w:val="none"/>
          <w:lang w:val="en-US" w:eastAsia="zh-CN"/>
        </w:rPr>
        <w:t>07</w:t>
      </w:r>
      <w:r>
        <w:rPr>
          <w:rFonts w:hint="default" w:ascii="Times New Roman" w:hAnsi="Times New Roman" w:eastAsia="宋体"/>
          <w:color w:val="auto"/>
          <w:highlight w:val="none"/>
        </w:rPr>
        <w:t>″</w:t>
      </w:r>
      <w:r>
        <w:rPr>
          <w:rFonts w:hint="eastAsia" w:ascii="Times New Roman" w:hAnsi="Times New Roman" w:eastAsia="宋体"/>
          <w:color w:val="auto"/>
          <w:highlight w:val="none"/>
        </w:rPr>
        <w:t>～</w:t>
      </w:r>
      <w:r>
        <w:rPr>
          <w:rFonts w:hint="default" w:ascii="Times New Roman" w:hAnsi="Times New Roman" w:eastAsia="宋体"/>
          <w:color w:val="auto"/>
          <w:highlight w:val="none"/>
        </w:rPr>
        <w:t>42°2</w:t>
      </w:r>
      <w:r>
        <w:rPr>
          <w:rFonts w:hint="eastAsia" w:eastAsia="宋体"/>
          <w:color w:val="auto"/>
          <w:highlight w:val="none"/>
          <w:lang w:val="en-US" w:eastAsia="zh-CN"/>
        </w:rPr>
        <w:t>8</w:t>
      </w:r>
      <w:r>
        <w:rPr>
          <w:rFonts w:hint="default" w:ascii="Times New Roman" w:hAnsi="Times New Roman" w:eastAsia="宋体"/>
          <w:color w:val="auto"/>
          <w:highlight w:val="none"/>
        </w:rPr>
        <w:t>′</w:t>
      </w:r>
      <w:r>
        <w:rPr>
          <w:rFonts w:hint="eastAsia" w:eastAsia="宋体"/>
          <w:color w:val="auto"/>
          <w:highlight w:val="none"/>
          <w:lang w:val="en-US" w:eastAsia="zh-CN"/>
        </w:rPr>
        <w:t>1</w:t>
      </w:r>
      <w:r>
        <w:rPr>
          <w:rFonts w:hint="default" w:ascii="Times New Roman" w:hAnsi="Times New Roman" w:eastAsia="宋体"/>
          <w:color w:val="auto"/>
          <w:highlight w:val="none"/>
        </w:rPr>
        <w:t>6″</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矿区南东距G208国道约3km，与旗政府赛汉塔拉镇和集宁连接，其间都有砂石路相连，由锡林浩特市沿省道S101线西行200km到达苏尼特左旗满都拉图镇，沿G209行驶150km抵达苏尼特右旗赛汉塔拉镇，赛罕塔拉镇</w:t>
      </w:r>
      <w:r>
        <w:rPr>
          <w:rFonts w:hint="eastAsia" w:ascii="Times New Roman" w:hAnsi="Times New Roman" w:eastAsia="宋体"/>
          <w:color w:val="auto"/>
          <w:highlight w:val="none"/>
          <w:lang w:val="en-US" w:eastAsia="zh-CN"/>
        </w:rPr>
        <w:t>沿G208行驶38km下道行驶3km抵达矿区。依据</w:t>
      </w:r>
      <w:r>
        <w:rPr>
          <w:rFonts w:ascii="Times New Roman" w:hAnsi="Times New Roman" w:eastAsia="宋体"/>
          <w:color w:val="auto"/>
          <w:highlight w:val="none"/>
        </w:rPr>
        <w:t>《</w:t>
      </w:r>
      <w:r>
        <w:rPr>
          <w:rFonts w:hint="eastAsia" w:ascii="Times New Roman" w:hAnsi="Times New Roman" w:eastAsia="宋体"/>
          <w:color w:val="auto"/>
          <w:highlight w:val="none"/>
        </w:rPr>
        <w:t>内蒙古自治区苏尼特右旗巴润宝力格采砂场资源储量核实报告</w:t>
      </w:r>
      <w:r>
        <w:rPr>
          <w:rFonts w:ascii="Times New Roman" w:hAnsi="Times New Roman" w:eastAsia="宋体"/>
          <w:color w:val="auto"/>
          <w:highlight w:val="none"/>
        </w:rPr>
        <w:t>》</w:t>
      </w:r>
      <w:r>
        <w:rPr>
          <w:rFonts w:hint="eastAsia" w:ascii="Times New Roman" w:hAnsi="Times New Roman" w:eastAsia="宋体"/>
          <w:color w:val="auto"/>
          <w:highlight w:val="none"/>
        </w:rPr>
        <w:t>矿区范围由</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个拐点圈定，</w:t>
      </w:r>
      <w:r>
        <w:rPr>
          <w:rFonts w:hint="eastAsia" w:ascii="Times New Roman" w:hAnsi="Times New Roman" w:eastAsia="宋体"/>
          <w:color w:val="auto"/>
          <w:highlight w:val="none"/>
          <w:lang w:val="en-US" w:eastAsia="zh-CN"/>
        </w:rPr>
        <w:t>矿区范围拐点坐标见表3.2-1</w:t>
      </w:r>
      <w:r>
        <w:rPr>
          <w:rFonts w:hint="eastAsia" w:eastAsia="宋体"/>
          <w:color w:val="auto"/>
          <w:highlight w:val="none"/>
          <w:lang w:val="en-US" w:eastAsia="zh-CN"/>
        </w:rPr>
        <w:t>和附图4</w:t>
      </w:r>
      <w:r>
        <w:rPr>
          <w:rFonts w:hint="eastAsia" w:ascii="Times New Roman" w:hAnsi="Times New Roman" w:eastAsia="宋体"/>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eastAsia="zh-CN"/>
        </w:rPr>
        <w:t>表</w:t>
      </w:r>
      <w:r>
        <w:rPr>
          <w:rFonts w:hint="eastAsia" w:ascii="Times New Roman" w:hAnsi="Times New Roman" w:eastAsia="宋体"/>
          <w:b/>
          <w:bCs/>
          <w:color w:val="auto"/>
          <w:highlight w:val="none"/>
          <w:lang w:val="en-US" w:eastAsia="zh-CN"/>
        </w:rPr>
        <w:t xml:space="preserve">3.2-1 </w:t>
      </w:r>
      <w:r>
        <w:rPr>
          <w:rFonts w:hint="eastAsia" w:eastAsia="宋体"/>
          <w:b/>
          <w:bCs/>
          <w:color w:val="auto"/>
          <w:highlight w:val="none"/>
          <w:lang w:val="en-US" w:eastAsia="zh-CN"/>
        </w:rPr>
        <w:t>本项目</w:t>
      </w:r>
      <w:r>
        <w:rPr>
          <w:rFonts w:hint="eastAsia" w:ascii="Times New Roman" w:hAnsi="Times New Roman" w:eastAsia="宋体"/>
          <w:b/>
          <w:bCs/>
          <w:color w:val="auto"/>
          <w:highlight w:val="none"/>
          <w:lang w:val="en-US" w:eastAsia="zh-CN"/>
        </w:rPr>
        <w:t>矿区范围拐点坐标表</w:t>
      </w:r>
    </w:p>
    <w:tbl>
      <w:tblPr>
        <w:tblStyle w:val="35"/>
        <w:tblW w:w="4875" w:type="pct"/>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2"/>
        <w:gridCol w:w="1896"/>
        <w:gridCol w:w="1644"/>
        <w:gridCol w:w="1812"/>
        <w:gridCol w:w="186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exact"/>
          <w:jc w:val="center"/>
        </w:trPr>
        <w:tc>
          <w:tcPr>
            <w:tcW w:w="6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拐点</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编号</w:t>
            </w:r>
          </w:p>
        </w:tc>
        <w:tc>
          <w:tcPr>
            <w:tcW w:w="21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rPr>
            </w:pPr>
            <w:r>
              <w:rPr>
                <w:rFonts w:hint="eastAsia" w:ascii="Times New Roman" w:hAnsi="Times New Roman" w:eastAsia="宋体"/>
                <w:b w:val="0"/>
                <w:bCs/>
                <w:sz w:val="21"/>
                <w:szCs w:val="21"/>
              </w:rPr>
              <w:t>1980西安坐标系</w:t>
            </w:r>
            <w:r>
              <w:rPr>
                <w:rFonts w:hint="eastAsia" w:ascii="Times New Roman" w:hAnsi="Times New Roman" w:eastAsia="宋体"/>
                <w:b w:val="0"/>
                <w:bCs/>
                <w:sz w:val="21"/>
                <w:szCs w:val="21"/>
                <w:lang w:eastAsia="zh-CN"/>
              </w:rPr>
              <w:t>（</w:t>
            </w:r>
            <w:r>
              <w:rPr>
                <w:rFonts w:hint="eastAsia" w:ascii="Times New Roman" w:hAnsi="Times New Roman" w:eastAsia="宋体"/>
                <w:b w:val="0"/>
                <w:bCs/>
                <w:sz w:val="21"/>
                <w:szCs w:val="21"/>
              </w:rPr>
              <w:t>6°带</w:t>
            </w:r>
            <w:r>
              <w:rPr>
                <w:rFonts w:hint="eastAsia" w:ascii="Times New Roman" w:hAnsi="Times New Roman" w:eastAsia="宋体"/>
                <w:b w:val="0"/>
                <w:bCs/>
                <w:sz w:val="21"/>
                <w:szCs w:val="21"/>
                <w:lang w:eastAsia="zh-CN"/>
              </w:rPr>
              <w:t>）</w:t>
            </w:r>
          </w:p>
        </w:tc>
        <w:tc>
          <w:tcPr>
            <w:tcW w:w="222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2000国家坐标系</w:t>
            </w:r>
            <w:r>
              <w:rPr>
                <w:rFonts w:ascii="Times New Roman" w:hAnsi="Times New Roman" w:eastAsia="宋体"/>
                <w:b w:val="0"/>
                <w:bCs/>
                <w:sz w:val="21"/>
                <w:szCs w:val="21"/>
              </w:rPr>
              <w:t>（</w:t>
            </w:r>
            <w:r>
              <w:rPr>
                <w:rFonts w:hint="eastAsia" w:ascii="Times New Roman" w:hAnsi="Times New Roman" w:eastAsia="宋体"/>
                <w:b w:val="0"/>
                <w:bCs/>
                <w:sz w:val="21"/>
                <w:szCs w:val="21"/>
                <w:lang w:val="en-US" w:eastAsia="zh-CN"/>
              </w:rPr>
              <w:t>6</w:t>
            </w:r>
            <w:r>
              <w:rPr>
                <w:rFonts w:ascii="Times New Roman" w:hAnsi="Times New Roman" w:eastAsia="宋体"/>
                <w:b w:val="0"/>
                <w:bCs/>
                <w:sz w:val="21"/>
                <w:szCs w:val="21"/>
              </w:rPr>
              <w:t>°带）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exact"/>
          <w:jc w:val="center"/>
        </w:trPr>
        <w:tc>
          <w:tcPr>
            <w:tcW w:w="6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b w:val="0"/>
                <w:bCs/>
                <w:sz w:val="21"/>
                <w:szCs w:val="21"/>
              </w:rPr>
            </w:pP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rPr>
            </w:pPr>
            <w:r>
              <w:rPr>
                <w:rFonts w:hint="eastAsia" w:ascii="Times New Roman" w:hAnsi="Times New Roman" w:eastAsia="宋体"/>
                <w:b w:val="0"/>
                <w:bCs/>
                <w:sz w:val="21"/>
                <w:szCs w:val="21"/>
              </w:rPr>
              <w:t>X</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lang w:val="en-US" w:eastAsia="zh-CN"/>
              </w:rPr>
            </w:pPr>
            <w:r>
              <w:rPr>
                <w:rFonts w:hint="eastAsia" w:ascii="Times New Roman" w:hAnsi="Times New Roman" w:eastAsia="宋体"/>
                <w:b w:val="0"/>
                <w:bCs/>
                <w:sz w:val="21"/>
                <w:szCs w:val="21"/>
              </w:rPr>
              <w:t>Y</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宋体"/>
                <w:b w:val="0"/>
                <w:bCs/>
                <w:kern w:val="2"/>
                <w:sz w:val="21"/>
                <w:szCs w:val="21"/>
                <w:lang w:val="en-US" w:eastAsia="zh-CN" w:bidi="ar-SA"/>
              </w:rPr>
            </w:pPr>
            <w:r>
              <w:rPr>
                <w:rFonts w:ascii="Times New Roman" w:hAnsi="Times New Roman" w:eastAsia="宋体"/>
                <w:b w:val="0"/>
                <w:bCs/>
                <w:sz w:val="21"/>
                <w:szCs w:val="21"/>
              </w:rPr>
              <w:t>X</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宋体"/>
                <w:b w:val="0"/>
                <w:bCs/>
                <w:kern w:val="2"/>
                <w:sz w:val="21"/>
                <w:szCs w:val="21"/>
                <w:lang w:val="en-US" w:eastAsia="zh-CN" w:bidi="ar-SA"/>
              </w:rPr>
            </w:pPr>
            <w:r>
              <w:rPr>
                <w:rFonts w:ascii="Times New Roman" w:hAnsi="Times New Roman" w:eastAsia="宋体"/>
                <w:b w:val="0"/>
                <w:bCs/>
                <w:sz w:val="21"/>
                <w:szCs w:val="21"/>
              </w:rPr>
              <w:t>Y</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1</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4705669.005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19652976.004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4705676.3638</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19653091.5908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2</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4705668.006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19653432.005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4705675.3649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19653547.5936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3</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4705409.006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19653439.005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4705416.3638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19653554.5938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4</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4705415.129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19653307.606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4705422.487</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19653423.194</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hint="eastAsia" w:ascii="Times New Roman" w:hAnsi="Times New Roman" w:eastAsia="宋体"/>
                <w:b w:val="0"/>
                <w:bCs/>
                <w:sz w:val="21"/>
                <w:szCs w:val="21"/>
              </w:rPr>
              <w:t>5</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4705454.546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19653163.405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4705461.904</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19653278.993</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hint="eastAsia" w:ascii="Times New Roman" w:hAnsi="Times New Roman" w:eastAsia="宋体"/>
                <w:b w:val="0"/>
                <w:bCs/>
                <w:sz w:val="21"/>
                <w:szCs w:val="21"/>
              </w:rPr>
              <w:t>6</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4705492.149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19652972.550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4705499.507</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19653088.137</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exac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lang w:eastAsia="zh-CN"/>
              </w:rPr>
            </w:pPr>
            <w:r>
              <w:rPr>
                <w:rFonts w:hint="eastAsia" w:ascii="Times New Roman" w:hAnsi="Times New Roman" w:eastAsia="宋体"/>
                <w:b w:val="0"/>
                <w:bCs/>
                <w:color w:val="FF0000"/>
                <w:sz w:val="21"/>
                <w:szCs w:val="21"/>
                <w:lang w:val="en-US" w:eastAsia="zh-CN"/>
              </w:rPr>
              <w:t>矿区</w:t>
            </w:r>
            <w:r>
              <w:rPr>
                <w:rFonts w:hint="eastAsia" w:ascii="Times New Roman" w:hAnsi="Times New Roman" w:eastAsia="宋体"/>
                <w:b w:val="0"/>
                <w:bCs/>
                <w:color w:val="FF0000"/>
                <w:sz w:val="21"/>
                <w:szCs w:val="21"/>
              </w:rPr>
              <w:t>面积：0.10</w:t>
            </w:r>
            <w:r>
              <w:rPr>
                <w:rFonts w:hint="eastAsia" w:ascii="Times New Roman" w:hAnsi="Times New Roman" w:eastAsia="宋体"/>
                <w:b w:val="0"/>
                <w:bCs/>
                <w:color w:val="FF0000"/>
                <w:sz w:val="21"/>
                <w:szCs w:val="21"/>
                <w:lang w:val="en-US" w:eastAsia="zh-CN"/>
              </w:rPr>
              <w:t>3</w:t>
            </w:r>
            <w:r>
              <w:rPr>
                <w:rFonts w:hint="eastAsia" w:eastAsia="宋体"/>
                <w:b w:val="0"/>
                <w:bCs/>
                <w:color w:val="FF0000"/>
                <w:sz w:val="21"/>
                <w:szCs w:val="21"/>
                <w:lang w:val="en-US" w:eastAsia="zh-CN"/>
              </w:rPr>
              <w:t>4</w:t>
            </w:r>
            <w:r>
              <w:rPr>
                <w:rFonts w:ascii="Times New Roman" w:hAnsi="Times New Roman" w:eastAsia="宋体"/>
                <w:b w:val="0"/>
                <w:bCs/>
                <w:color w:val="FF0000"/>
                <w:sz w:val="21"/>
                <w:szCs w:val="21"/>
              </w:rPr>
              <w:t xml:space="preserve"> km</w:t>
            </w:r>
            <w:r>
              <w:rPr>
                <w:rFonts w:ascii="Times New Roman" w:hAnsi="Times New Roman" w:eastAsia="宋体"/>
                <w:b w:val="0"/>
                <w:bCs/>
                <w:color w:val="FF0000"/>
                <w:sz w:val="21"/>
                <w:szCs w:val="21"/>
                <w:vertAlign w:val="superscript"/>
              </w:rPr>
              <w:t>2</w:t>
            </w:r>
            <w:r>
              <w:rPr>
                <w:rFonts w:hint="eastAsia" w:ascii="Times New Roman" w:hAnsi="Times New Roman" w:eastAsia="宋体"/>
                <w:b w:val="0"/>
                <w:bCs/>
                <w:color w:val="FF0000"/>
                <w:sz w:val="21"/>
                <w:szCs w:val="21"/>
                <w:vertAlign w:val="baseline"/>
                <w:lang w:eastAsia="zh-CN"/>
              </w:rPr>
              <w:t>，开采深度：</w:t>
            </w:r>
            <w:r>
              <w:rPr>
                <w:rFonts w:hint="eastAsia" w:ascii="Times New Roman" w:hAnsi="Times New Roman" w:eastAsia="宋体"/>
                <w:b w:val="0"/>
                <w:bCs/>
                <w:color w:val="FF0000"/>
                <w:sz w:val="21"/>
                <w:szCs w:val="21"/>
                <w:vertAlign w:val="baseline"/>
                <w:lang w:val="en-US" w:eastAsia="zh-CN"/>
              </w:rPr>
              <w:t>11</w:t>
            </w:r>
            <w:r>
              <w:rPr>
                <w:rFonts w:hint="eastAsia" w:eastAsia="宋体"/>
                <w:b w:val="0"/>
                <w:bCs/>
                <w:color w:val="FF0000"/>
                <w:sz w:val="21"/>
                <w:szCs w:val="21"/>
                <w:vertAlign w:val="baseline"/>
                <w:lang w:val="en-US" w:eastAsia="zh-CN"/>
              </w:rPr>
              <w:t>52.98</w:t>
            </w:r>
            <w:r>
              <w:rPr>
                <w:rFonts w:hint="eastAsia" w:ascii="Times New Roman" w:hAnsi="Times New Roman" w:eastAsia="宋体"/>
                <w:b w:val="0"/>
                <w:bCs/>
                <w:color w:val="FF0000"/>
                <w:sz w:val="21"/>
                <w:szCs w:val="21"/>
                <w:vertAlign w:val="baseline"/>
                <w:lang w:eastAsia="zh-CN"/>
              </w:rPr>
              <w:t>～</w:t>
            </w:r>
            <w:r>
              <w:rPr>
                <w:rFonts w:hint="eastAsia" w:ascii="Times New Roman" w:hAnsi="Times New Roman" w:eastAsia="宋体"/>
                <w:b w:val="0"/>
                <w:bCs/>
                <w:color w:val="FF0000"/>
                <w:sz w:val="21"/>
                <w:szCs w:val="21"/>
                <w:vertAlign w:val="baseline"/>
                <w:lang w:val="en-US" w:eastAsia="zh-CN"/>
              </w:rPr>
              <w:t>1136.0</w:t>
            </w:r>
            <w:r>
              <w:rPr>
                <w:rFonts w:hint="eastAsia" w:ascii="Times New Roman" w:hAnsi="Times New Roman" w:eastAsia="宋体"/>
                <w:b w:val="0"/>
                <w:bCs/>
                <w:color w:val="FF0000"/>
                <w:sz w:val="21"/>
                <w:szCs w:val="21"/>
                <w:vertAlign w:val="baseline"/>
                <w:lang w:eastAsia="zh-CN"/>
              </w:rPr>
              <w:t>m标高</w:t>
            </w: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92" w:name="_Toc29377"/>
      <w:r>
        <w:rPr>
          <w:rFonts w:hint="eastAsia" w:ascii="Times New Roman" w:hAnsi="Times New Roman" w:eastAsia="宋体"/>
          <w:b/>
          <w:bCs w:val="0"/>
          <w:color w:val="auto"/>
          <w:sz w:val="28"/>
          <w:szCs w:val="28"/>
          <w:highlight w:val="none"/>
          <w:lang w:val="en-US" w:eastAsia="zh-CN"/>
        </w:rPr>
        <w:t>3.2.3建设规模</w:t>
      </w:r>
      <w:bookmarkEnd w:id="9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olor w:val="FF0000"/>
          <w:highlight w:val="none"/>
          <w:lang w:val="en-US" w:eastAsia="zh-CN"/>
        </w:rPr>
      </w:pPr>
      <w:r>
        <w:rPr>
          <w:rFonts w:hint="eastAsia" w:eastAsia="宋体"/>
          <w:color w:val="auto"/>
          <w:highlight w:val="none"/>
          <w:lang w:val="en-US" w:eastAsia="zh-CN"/>
        </w:rPr>
        <w:t>矿区</w:t>
      </w:r>
      <w:r>
        <w:rPr>
          <w:rFonts w:hint="eastAsia" w:ascii="Times New Roman" w:hAnsi="Times New Roman" w:eastAsia="宋体"/>
          <w:color w:val="auto"/>
          <w:highlight w:val="none"/>
        </w:rPr>
        <w:t>面积</w:t>
      </w:r>
      <w:r>
        <w:rPr>
          <w:rFonts w:hint="eastAsia" w:eastAsia="宋体"/>
          <w:color w:val="auto"/>
          <w:highlight w:val="none"/>
          <w:lang w:val="en-US" w:eastAsia="zh-CN"/>
        </w:rPr>
        <w:t>降为</w:t>
      </w:r>
      <w:r>
        <w:rPr>
          <w:rFonts w:hint="eastAsia" w:ascii="Times New Roman" w:hAnsi="Times New Roman" w:eastAsia="宋体"/>
          <w:color w:val="auto"/>
          <w:highlight w:val="none"/>
          <w:lang w:eastAsia="zh-CN"/>
        </w:rPr>
        <w:t>0.103</w:t>
      </w:r>
      <w:r>
        <w:rPr>
          <w:rFonts w:hint="eastAsia" w:eastAsia="宋体"/>
          <w:color w:val="auto"/>
          <w:highlight w:val="none"/>
          <w:lang w:val="en-US" w:eastAsia="zh-CN"/>
        </w:rPr>
        <w:t>4</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r>
        <w:rPr>
          <w:rFonts w:hint="eastAsia" w:eastAsia="宋体"/>
          <w:color w:val="FF0000"/>
          <w:highlight w:val="none"/>
          <w:lang w:val="en-US" w:eastAsia="zh-CN"/>
        </w:rPr>
        <w:t>全部为采矿用地；</w:t>
      </w:r>
      <w:r>
        <w:rPr>
          <w:rFonts w:hint="eastAsia" w:ascii="Times New Roman" w:hAnsi="Times New Roman" w:eastAsia="宋体"/>
          <w:color w:val="auto"/>
          <w:highlight w:val="none"/>
        </w:rPr>
        <w:t>开采方式为露天开采</w:t>
      </w:r>
      <w:r>
        <w:rPr>
          <w:rFonts w:hint="eastAsia" w:eastAsia="宋体"/>
          <w:color w:val="auto"/>
          <w:highlight w:val="none"/>
          <w:lang w:val="en-US" w:eastAsia="zh-CN"/>
        </w:rPr>
        <w:t>不变</w:t>
      </w:r>
      <w:r>
        <w:rPr>
          <w:rFonts w:hint="eastAsia" w:ascii="Times New Roman" w:hAnsi="Times New Roman" w:eastAsia="宋体"/>
          <w:color w:val="auto"/>
          <w:highlight w:val="none"/>
        </w:rPr>
        <w:t>，</w:t>
      </w:r>
      <w:r>
        <w:rPr>
          <w:rFonts w:hint="eastAsia" w:ascii="Times New Roman" w:hAnsi="Times New Roman" w:eastAsia="宋体"/>
          <w:color w:val="FF0000"/>
          <w:highlight w:val="none"/>
        </w:rPr>
        <w:t>开采深度由</w:t>
      </w:r>
      <w:r>
        <w:rPr>
          <w:rFonts w:hint="eastAsia" w:ascii="Times New Roman" w:hAnsi="Times New Roman" w:eastAsia="宋体"/>
          <w:color w:val="FF0000"/>
          <w:highlight w:val="none"/>
          <w:lang w:val="en-US" w:eastAsia="zh-CN"/>
        </w:rPr>
        <w:t>1146.0</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val="en-US" w:eastAsia="zh-CN"/>
        </w:rPr>
        <w:t>1136.0</w:t>
      </w:r>
      <w:r>
        <w:rPr>
          <w:rFonts w:hint="eastAsia" w:ascii="Times New Roman" w:hAnsi="Times New Roman" w:eastAsia="宋体"/>
          <w:color w:val="FF0000"/>
          <w:highlight w:val="none"/>
        </w:rPr>
        <w:t>m</w:t>
      </w:r>
      <w:r>
        <w:rPr>
          <w:rFonts w:hint="eastAsia" w:eastAsia="宋体"/>
          <w:color w:val="FF0000"/>
          <w:highlight w:val="none"/>
          <w:lang w:eastAsia="zh-CN"/>
        </w:rPr>
        <w:t>，</w:t>
      </w:r>
      <w:r>
        <w:rPr>
          <w:rFonts w:hint="eastAsia" w:eastAsia="宋体"/>
          <w:color w:val="FF0000"/>
          <w:highlight w:val="none"/>
          <w:lang w:val="en-US" w:eastAsia="zh-CN"/>
        </w:rPr>
        <w:t>变更为1152.98~1136m（建设单位正在办理采矿范围变更），开采</w:t>
      </w:r>
      <w:r>
        <w:rPr>
          <w:rFonts w:hint="eastAsia" w:ascii="Times New Roman" w:hAnsi="Times New Roman" w:eastAsia="宋体"/>
          <w:color w:val="FF0000"/>
          <w:highlight w:val="none"/>
        </w:rPr>
        <w:t>规模</w:t>
      </w:r>
      <w:r>
        <w:rPr>
          <w:rFonts w:hint="eastAsia" w:eastAsia="宋体"/>
          <w:color w:val="FF0000"/>
          <w:highlight w:val="none"/>
          <w:lang w:val="en-US" w:eastAsia="zh-CN"/>
        </w:rPr>
        <w:t>增加</w:t>
      </w:r>
      <w:r>
        <w:rPr>
          <w:rFonts w:hint="eastAsia" w:ascii="Times New Roman" w:hAnsi="Times New Roman" w:eastAsia="宋体"/>
          <w:color w:val="FF0000"/>
          <w:highlight w:val="none"/>
        </w:rPr>
        <w:t>为6×10</w:t>
      </w:r>
      <w:r>
        <w:rPr>
          <w:rFonts w:hint="eastAsia" w:ascii="Times New Roman" w:hAnsi="Times New Roman" w:eastAsia="宋体"/>
          <w:color w:val="FF0000"/>
          <w:highlight w:val="none"/>
          <w:vertAlign w:val="superscript"/>
        </w:rPr>
        <w:t>4</w:t>
      </w:r>
      <w:r>
        <w:rPr>
          <w:rFonts w:hint="eastAsia" w:ascii="Times New Roman" w:hAnsi="Times New Roman" w:eastAsia="宋体"/>
          <w:color w:val="FF0000"/>
          <w:highlight w:val="none"/>
        </w:rPr>
        <w:t>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/a</w:t>
      </w:r>
      <w:r>
        <w:rPr>
          <w:rFonts w:hint="eastAsia" w:eastAsia="宋体"/>
          <w:color w:val="FF0000"/>
          <w:highlight w:val="none"/>
          <w:lang w:eastAsia="zh-CN"/>
        </w:rPr>
        <w:t>，</w:t>
      </w:r>
      <w:r>
        <w:rPr>
          <w:rFonts w:hint="eastAsia" w:eastAsia="宋体"/>
          <w:color w:val="FF0000"/>
          <w:highlight w:val="none"/>
          <w:lang w:val="en-US" w:eastAsia="zh-CN"/>
        </w:rPr>
        <w:t>变更完采矿权范围后，矿山服务年限降为6.2年。新增洗砂规模为</w:t>
      </w:r>
      <w:r>
        <w:rPr>
          <w:rFonts w:hint="eastAsia" w:ascii="Times New Roman" w:hAnsi="Times New Roman" w:eastAsia="宋体"/>
          <w:color w:val="FF0000"/>
          <w:highlight w:val="none"/>
          <w:lang w:val="en-US" w:eastAsia="zh-CN"/>
        </w:rPr>
        <w:t>4</w:t>
      </w:r>
      <w:r>
        <w:rPr>
          <w:rFonts w:hint="eastAsia" w:ascii="Times New Roman" w:hAnsi="Times New Roman" w:eastAsia="宋体"/>
          <w:color w:val="FF0000"/>
          <w:highlight w:val="none"/>
        </w:rPr>
        <w:t>×10</w:t>
      </w:r>
      <w:r>
        <w:rPr>
          <w:rFonts w:hint="eastAsia" w:ascii="Times New Roman" w:hAnsi="Times New Roman" w:eastAsia="宋体"/>
          <w:color w:val="FF0000"/>
          <w:highlight w:val="none"/>
          <w:vertAlign w:val="superscript"/>
        </w:rPr>
        <w:t>4</w:t>
      </w:r>
      <w:r>
        <w:rPr>
          <w:rFonts w:hint="eastAsia" w:ascii="Times New Roman" w:hAnsi="Times New Roman" w:eastAsia="宋体"/>
          <w:color w:val="FF0000"/>
          <w:highlight w:val="none"/>
        </w:rPr>
        <w:t>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/a</w:t>
      </w:r>
      <w:r>
        <w:rPr>
          <w:rFonts w:hint="eastAsia" w:eastAsia="宋体"/>
          <w:color w:val="FF0000"/>
          <w:highlight w:val="none"/>
          <w:lang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93" w:name="_Toc29676"/>
      <w:r>
        <w:rPr>
          <w:rFonts w:hint="eastAsia" w:ascii="Times New Roman" w:hAnsi="Times New Roman" w:eastAsia="宋体"/>
          <w:b/>
          <w:bCs w:val="0"/>
          <w:color w:val="auto"/>
          <w:sz w:val="28"/>
          <w:szCs w:val="28"/>
          <w:highlight w:val="none"/>
          <w:lang w:val="en-US" w:eastAsia="zh-CN"/>
        </w:rPr>
        <w:t>3.2.4建设内容</w:t>
      </w:r>
      <w:bookmarkEnd w:id="9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本项目主要</w:t>
      </w:r>
      <w:r>
        <w:rPr>
          <w:rFonts w:hint="eastAsia" w:ascii="Times New Roman" w:hAnsi="Times New Roman" w:eastAsia="宋体"/>
          <w:color w:val="auto"/>
          <w:highlight w:val="none"/>
        </w:rPr>
        <w:t>建设</w:t>
      </w:r>
      <w:r>
        <w:rPr>
          <w:rFonts w:ascii="Times New Roman" w:hAnsi="Times New Roman" w:eastAsia="宋体"/>
          <w:color w:val="auto"/>
          <w:highlight w:val="none"/>
        </w:rPr>
        <w:t>内容包括主体工程、辅助工程、</w:t>
      </w:r>
      <w:r>
        <w:rPr>
          <w:rFonts w:hint="eastAsia" w:ascii="Times New Roman" w:hAnsi="Times New Roman" w:eastAsia="宋体"/>
          <w:color w:val="auto"/>
          <w:highlight w:val="none"/>
          <w:lang w:eastAsia="zh-CN"/>
        </w:rPr>
        <w:t>储运工程、公用工程以及</w:t>
      </w:r>
      <w:r>
        <w:rPr>
          <w:rFonts w:ascii="Times New Roman" w:hAnsi="Times New Roman" w:eastAsia="宋体"/>
          <w:color w:val="auto"/>
          <w:highlight w:val="none"/>
        </w:rPr>
        <w:t>环保工程。项目组成见表</w:t>
      </w:r>
      <w:r>
        <w:rPr>
          <w:rFonts w:hint="eastAsia" w:ascii="Times New Roman" w:hAnsi="Times New Roman" w:eastAsia="宋体"/>
          <w:color w:val="auto"/>
          <w:highlight w:val="none"/>
          <w:lang w:val="en-US" w:eastAsia="zh-CN"/>
        </w:rPr>
        <w:t>3.2-2</w:t>
      </w:r>
      <w:r>
        <w:rPr>
          <w:rFonts w:hint="eastAsia" w:ascii="Times New Roman" w:hAnsi="Times New Roman" w:eastAsia="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3.2-2</w:t>
      </w:r>
      <w:r>
        <w:rPr>
          <w:rFonts w:hint="eastAsia" w:ascii="Times New Roman" w:hAnsi="Times New Roman" w:eastAsia="宋体"/>
          <w:b/>
          <w:bCs/>
          <w:color w:val="auto"/>
          <w:highlight w:val="none"/>
        </w:rPr>
        <w:t xml:space="preserve">   </w:t>
      </w:r>
      <w:r>
        <w:rPr>
          <w:rFonts w:hint="eastAsia" w:eastAsia="宋体"/>
          <w:b/>
          <w:bCs/>
          <w:color w:val="auto"/>
          <w:highlight w:val="none"/>
          <w:lang w:val="en-US" w:eastAsia="zh-CN"/>
        </w:rPr>
        <w:t>扩建</w:t>
      </w:r>
      <w:r>
        <w:rPr>
          <w:rFonts w:hint="eastAsia" w:ascii="Times New Roman" w:hAnsi="Times New Roman" w:eastAsia="宋体"/>
          <w:b/>
          <w:bCs/>
          <w:color w:val="auto"/>
          <w:highlight w:val="none"/>
        </w:rPr>
        <w:t>后项目组成一览表</w:t>
      </w:r>
    </w:p>
    <w:tbl>
      <w:tblPr>
        <w:tblStyle w:val="36"/>
        <w:tblW w:w="835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154"/>
        <w:gridCol w:w="5389"/>
        <w:gridCol w:w="96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生产系统</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单项工程</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主要工程内容</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主体工程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采矿工程</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采矿面积降为0.1034km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lang w:val="en-US" w:eastAsia="zh-CN"/>
              </w:rPr>
              <w:t>，</w:t>
            </w:r>
            <w:r>
              <w:rPr>
                <w:rFonts w:hint="eastAsia" w:ascii="Times New Roman" w:hAnsi="Times New Roman" w:eastAsia="宋体"/>
                <w:color w:val="FF0000"/>
                <w:sz w:val="21"/>
                <w:szCs w:val="21"/>
                <w:highlight w:val="none"/>
              </w:rPr>
              <w:t>开采深度由</w:t>
            </w:r>
            <w:r>
              <w:rPr>
                <w:rFonts w:hint="eastAsia" w:ascii="Times New Roman" w:hAnsi="Times New Roman" w:eastAsia="宋体"/>
                <w:color w:val="FF0000"/>
                <w:sz w:val="21"/>
                <w:szCs w:val="21"/>
                <w:highlight w:val="none"/>
                <w:lang w:val="en-US" w:eastAsia="zh-CN"/>
              </w:rPr>
              <w:t>1146.0</w:t>
            </w:r>
            <w:r>
              <w:rPr>
                <w:rFonts w:hint="eastAsia" w:ascii="Times New Roman" w:hAnsi="Times New Roman" w:eastAsia="宋体"/>
                <w:color w:val="FF0000"/>
                <w:sz w:val="21"/>
                <w:szCs w:val="21"/>
                <w:highlight w:val="none"/>
              </w:rPr>
              <w:t>～</w:t>
            </w:r>
            <w:r>
              <w:rPr>
                <w:rFonts w:hint="eastAsia" w:ascii="Times New Roman" w:hAnsi="Times New Roman" w:eastAsia="宋体"/>
                <w:color w:val="FF0000"/>
                <w:sz w:val="21"/>
                <w:szCs w:val="21"/>
                <w:highlight w:val="none"/>
                <w:lang w:val="en-US" w:eastAsia="zh-CN"/>
              </w:rPr>
              <w:t>1136.0</w:t>
            </w:r>
            <w:r>
              <w:rPr>
                <w:rFonts w:hint="eastAsia" w:ascii="Times New Roman" w:hAnsi="Times New Roman" w:eastAsia="宋体"/>
                <w:color w:val="FF0000"/>
                <w:sz w:val="21"/>
                <w:szCs w:val="21"/>
                <w:highlight w:val="none"/>
              </w:rPr>
              <w:t>m</w:t>
            </w:r>
            <w:r>
              <w:rPr>
                <w:rFonts w:hint="eastAsia" w:eastAsia="宋体"/>
                <w:color w:val="FF0000"/>
                <w:sz w:val="21"/>
                <w:szCs w:val="21"/>
                <w:highlight w:val="none"/>
                <w:lang w:eastAsia="zh-CN"/>
              </w:rPr>
              <w:t>，</w:t>
            </w:r>
            <w:r>
              <w:rPr>
                <w:rFonts w:hint="eastAsia" w:eastAsia="宋体"/>
                <w:color w:val="FF0000"/>
                <w:sz w:val="21"/>
                <w:szCs w:val="21"/>
                <w:highlight w:val="none"/>
                <w:lang w:val="en-US" w:eastAsia="zh-CN"/>
              </w:rPr>
              <w:t>变更为1152.98~1136m（建设单位正在办理采矿范围变更），资源储量为48.84</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eastAsia="zh-CN"/>
              </w:rPr>
              <w:t>（</w:t>
            </w:r>
            <w:r>
              <w:rPr>
                <w:rFonts w:hint="eastAsia" w:eastAsia="宋体"/>
                <w:color w:val="FF0000"/>
                <w:sz w:val="21"/>
                <w:szCs w:val="21"/>
                <w:highlight w:val="none"/>
                <w:vertAlign w:val="baseline"/>
                <w:lang w:val="en-US" w:eastAsia="zh-CN"/>
              </w:rPr>
              <w:t>其中界内22.17</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val="en-US" w:eastAsia="zh-CN"/>
              </w:rPr>
              <w:t>，界外26.67</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eastAsia="zh-CN"/>
              </w:rPr>
              <w:t>），</w:t>
            </w:r>
            <w:r>
              <w:rPr>
                <w:rFonts w:hint="eastAsia" w:eastAsia="宋体"/>
                <w:color w:val="FF0000"/>
                <w:sz w:val="21"/>
                <w:szCs w:val="21"/>
                <w:highlight w:val="none"/>
                <w:vertAlign w:val="baseline"/>
                <w:lang w:val="en-US" w:eastAsia="zh-CN"/>
              </w:rPr>
              <w:t>按76%资源量计算</w:t>
            </w:r>
            <w:r>
              <w:rPr>
                <w:rFonts w:hint="eastAsia" w:ascii="Times New Roman" w:hAnsi="Times New Roman" w:eastAsia="宋体"/>
                <w:color w:val="FF0000"/>
                <w:sz w:val="21"/>
                <w:szCs w:val="21"/>
                <w:highlight w:val="none"/>
                <w:lang w:eastAsia="zh-CN"/>
              </w:rPr>
              <w:t>，</w:t>
            </w:r>
            <w:r>
              <w:rPr>
                <w:rFonts w:hint="eastAsia" w:eastAsia="宋体"/>
                <w:color w:val="FF0000"/>
                <w:sz w:val="21"/>
                <w:szCs w:val="21"/>
                <w:highlight w:val="none"/>
                <w:lang w:val="en-US" w:eastAsia="zh-CN"/>
              </w:rPr>
              <w:t>可采资源储量为37.12</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eastAsia="zh-CN"/>
              </w:rPr>
              <w:t>，</w:t>
            </w:r>
            <w:r>
              <w:rPr>
                <w:rFonts w:hint="eastAsia" w:ascii="Times New Roman" w:hAnsi="Times New Roman" w:eastAsia="宋体"/>
                <w:color w:val="FF0000"/>
                <w:sz w:val="21"/>
                <w:szCs w:val="21"/>
                <w:highlight w:val="none"/>
                <w:lang w:val="en-US" w:eastAsia="zh-CN"/>
              </w:rPr>
              <w:t>年</w:t>
            </w:r>
            <w:r>
              <w:rPr>
                <w:rFonts w:hint="eastAsia" w:eastAsia="宋体"/>
                <w:color w:val="auto"/>
                <w:sz w:val="21"/>
                <w:szCs w:val="21"/>
                <w:highlight w:val="none"/>
                <w:lang w:val="en-US" w:eastAsia="zh-CN"/>
              </w:rPr>
              <w:t>开采</w:t>
            </w:r>
            <w:r>
              <w:rPr>
                <w:rFonts w:hint="eastAsia" w:ascii="Times New Roman" w:hAnsi="Times New Roman" w:eastAsia="宋体"/>
                <w:color w:val="auto"/>
                <w:sz w:val="21"/>
                <w:szCs w:val="21"/>
                <w:highlight w:val="none"/>
              </w:rPr>
              <w:t>规模为6×10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矿山服务年限为6.2年，开采工艺不变，西侧采空区进行回填治理，沿着采坑向</w:t>
            </w:r>
            <w:r>
              <w:rPr>
                <w:rFonts w:hint="eastAsia" w:eastAsia="宋体"/>
                <w:color w:val="auto"/>
                <w:sz w:val="21"/>
                <w:szCs w:val="21"/>
                <w:highlight w:val="none"/>
                <w:lang w:val="en-US" w:eastAsia="zh-CN"/>
              </w:rPr>
              <w:t>南</w:t>
            </w:r>
            <w:r>
              <w:rPr>
                <w:rFonts w:hint="eastAsia" w:ascii="Times New Roman" w:hAnsi="Times New Roman" w:eastAsia="宋体"/>
                <w:color w:val="auto"/>
                <w:sz w:val="21"/>
                <w:szCs w:val="21"/>
                <w:highlight w:val="none"/>
                <w:lang w:val="en-US" w:eastAsia="zh-CN"/>
              </w:rPr>
              <w:t>掘进。</w:t>
            </w:r>
            <w:r>
              <w:rPr>
                <w:rFonts w:hint="eastAsia" w:eastAsia="宋体"/>
                <w:color w:val="auto"/>
                <w:sz w:val="21"/>
                <w:szCs w:val="21"/>
                <w:highlight w:val="none"/>
                <w:lang w:val="en-US" w:eastAsia="zh-CN"/>
              </w:rPr>
              <w:t>本项目</w:t>
            </w:r>
            <w:r>
              <w:rPr>
                <w:rFonts w:hint="eastAsia" w:ascii="Times New Roman" w:hAnsi="Times New Roman" w:eastAsia="宋体"/>
                <w:color w:val="FF0000"/>
                <w:sz w:val="21"/>
                <w:szCs w:val="21"/>
                <w:highlight w:val="none"/>
                <w:lang w:val="en-US" w:eastAsia="zh-CN"/>
              </w:rPr>
              <w:t>露天开采范围</w:t>
            </w:r>
            <w:r>
              <w:rPr>
                <w:rFonts w:hint="eastAsia" w:eastAsia="宋体"/>
                <w:color w:val="FF0000"/>
                <w:sz w:val="21"/>
                <w:szCs w:val="21"/>
                <w:highlight w:val="none"/>
                <w:lang w:val="en-US" w:eastAsia="zh-CN"/>
              </w:rPr>
              <w:t>7500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扩建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工业场地</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占地面积7000m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，新建洗砂生产线一条，洗砂能力为4×10</w:t>
            </w:r>
            <w:r>
              <w:rPr>
                <w:rFonts w:hint="eastAsia" w:eastAsia="宋体"/>
                <w:color w:val="FF0000"/>
                <w:sz w:val="21"/>
                <w:szCs w:val="21"/>
                <w:highlight w:val="none"/>
                <w:vertAlign w:val="superscript"/>
                <w:lang w:val="en-US" w:eastAsia="zh-CN"/>
              </w:rPr>
              <w:t>4</w:t>
            </w:r>
            <w:r>
              <w:rPr>
                <w:rFonts w:hint="eastAsia" w:eastAsia="宋体"/>
                <w:color w:val="FF0000"/>
                <w:sz w:val="21"/>
                <w:szCs w:val="21"/>
                <w:highlight w:val="none"/>
                <w:lang w:val="en-US" w:eastAsia="zh-CN"/>
              </w:rPr>
              <w:t>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/a，配套洗砂机一套（包括受料斗、筛分机、洗砂机、捞沙斣以及传输皮带），配套洗砂废水沉淀池以及底泥脱水机一台</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辅助生产系统</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办公生活区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在</w:t>
            </w:r>
            <w:r>
              <w:rPr>
                <w:rFonts w:hint="eastAsia" w:eastAsia="宋体"/>
                <w:color w:val="FF0000"/>
                <w:sz w:val="21"/>
                <w:szCs w:val="21"/>
                <w:highlight w:val="none"/>
                <w:lang w:val="en-US" w:eastAsia="zh-CN"/>
              </w:rPr>
              <w:t>矿区西南角</w:t>
            </w:r>
            <w:r>
              <w:rPr>
                <w:rFonts w:hint="eastAsia" w:ascii="Times New Roman" w:hAnsi="Times New Roman" w:eastAsia="宋体"/>
                <w:color w:val="FF0000"/>
                <w:sz w:val="21"/>
                <w:szCs w:val="21"/>
                <w:highlight w:val="none"/>
                <w:lang w:val="en-US" w:eastAsia="zh-CN"/>
              </w:rPr>
              <w:t>建有办公生活区，总占地面积</w:t>
            </w:r>
            <w:r>
              <w:rPr>
                <w:rFonts w:hint="eastAsia" w:eastAsia="宋体"/>
                <w:color w:val="FF0000"/>
                <w:sz w:val="21"/>
                <w:szCs w:val="21"/>
                <w:highlight w:val="none"/>
                <w:lang w:val="en-US" w:eastAsia="zh-CN"/>
              </w:rPr>
              <w:t>200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r>
              <w:rPr>
                <w:rFonts w:hint="eastAsia" w:ascii="Times New Roman" w:hAnsi="Times New Roman" w:eastAsia="宋体"/>
                <w:color w:val="FF0000"/>
                <w:sz w:val="21"/>
                <w:szCs w:val="21"/>
                <w:highlight w:val="none"/>
                <w:lang w:val="en-US" w:eastAsia="zh-CN"/>
              </w:rPr>
              <w:t>，包括办公室、食堂、职工宿舍、库房等</w:t>
            </w:r>
            <w:r>
              <w:rPr>
                <w:rFonts w:hint="eastAsia" w:eastAsia="宋体"/>
                <w:color w:val="FF0000"/>
                <w:sz w:val="21"/>
                <w:szCs w:val="21"/>
                <w:highlight w:val="none"/>
                <w:lang w:val="en-US" w:eastAsia="zh-CN"/>
              </w:rPr>
              <w:t>；办公生活区后期移动至厂区中部南侧，占地面积200m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，功能设备不变</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改建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沉淀池</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清水池（补水）77m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5.5m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2.8m；回用清水池137.5</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，10m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5.5m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2.5m；絮凝池90</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，φ5.5m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6.5m；搅拌池5</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，φ2.5m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1.2</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；钢筋混凝土结构，所有池体地上0.5m，其余均地下</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储运工程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运输系统</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FF0000"/>
                <w:sz w:val="21"/>
                <w:szCs w:val="21"/>
                <w:highlight w:val="none"/>
                <w:lang w:val="en-US" w:eastAsia="zh-CN"/>
              </w:rPr>
              <w:t>矿山生产时</w:t>
            </w:r>
            <w:r>
              <w:rPr>
                <w:rFonts w:hint="eastAsia" w:eastAsia="宋体"/>
                <w:color w:val="FF0000"/>
                <w:sz w:val="21"/>
                <w:szCs w:val="21"/>
                <w:highlight w:val="none"/>
                <w:lang w:val="en-US" w:eastAsia="zh-CN"/>
              </w:rPr>
              <w:t>采用自卸汽车将直接出售的砂料运输出厂，用装载机将用于洗砂工序的原料砂装入自卸汽车运至洗砂机受料斗</w:t>
            </w:r>
            <w:r>
              <w:rPr>
                <w:rFonts w:hint="eastAsia" w:ascii="Times New Roman" w:hAnsi="Times New Roman" w:eastAsia="宋体"/>
                <w:color w:val="FF0000"/>
                <w:sz w:val="21"/>
                <w:szCs w:val="21"/>
                <w:highlight w:val="none"/>
                <w:lang w:val="en-US" w:eastAsia="zh-CN"/>
              </w:rPr>
              <w:t>；</w:t>
            </w:r>
            <w:r>
              <w:rPr>
                <w:rFonts w:hint="eastAsia" w:eastAsia="宋体"/>
                <w:color w:val="FF0000"/>
                <w:sz w:val="21"/>
                <w:szCs w:val="21"/>
                <w:highlight w:val="none"/>
                <w:lang w:val="en-US" w:eastAsia="zh-CN"/>
              </w:rPr>
              <w:t>洗后的建筑水洗砂采用自卸汽车外运；表土由铲车直接运至表土堆场；弃土由装载机装入自卸汽车运至采空区；底泥由</w:t>
            </w:r>
            <w:bookmarkStart w:id="488" w:name="_GoBack"/>
            <w:bookmarkEnd w:id="488"/>
            <w:r>
              <w:rPr>
                <w:rFonts w:hint="eastAsia" w:eastAsia="宋体"/>
                <w:color w:val="FF0000"/>
                <w:sz w:val="21"/>
                <w:szCs w:val="21"/>
                <w:highlight w:val="none"/>
                <w:lang w:val="en-US" w:eastAsia="zh-CN"/>
              </w:rPr>
              <w:t>装载机装入自卸汽车运至采空区</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原料砂堆场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采坑中设立原料砂堆场，用于存放刚开采的原料砂，正常情况下按需开采，堆存量很少，利用采场雾炮机抑尘</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成品堆场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FF0000"/>
                <w:sz w:val="21"/>
                <w:szCs w:val="21"/>
                <w:highlight w:val="none"/>
                <w:lang w:val="en-US" w:eastAsia="zh-CN"/>
              </w:rPr>
              <w:t>采坑2采空区作为成品堆场，用于存放洗后的建筑水洗砂，</w:t>
            </w:r>
            <w:r>
              <w:rPr>
                <w:rFonts w:hint="eastAsia" w:eastAsia="宋体"/>
                <w:color w:val="auto"/>
                <w:sz w:val="21"/>
                <w:szCs w:val="21"/>
                <w:highlight w:val="none"/>
                <w:lang w:val="en-US" w:eastAsia="zh-CN"/>
              </w:rPr>
              <w:t>占地面积2650m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，66</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47</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，高度5m，最大堆放量为10000m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w:t>
            </w:r>
            <w:r>
              <w:rPr>
                <w:rFonts w:hint="eastAsia" w:eastAsia="宋体"/>
                <w:color w:val="FF0000"/>
                <w:sz w:val="21"/>
                <w:szCs w:val="21"/>
                <w:highlight w:val="none"/>
                <w:lang w:val="en-US" w:eastAsia="zh-CN"/>
              </w:rPr>
              <w:t>采取边销售边堆放的方式，待采坑1回填满后，将采坑2成品堆场作为回填区，成品堆场在采坑2采空区向南推进，经过水洗的成品砂料主要颗粒状物料，采取苫盖措施抑尘</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FF0000"/>
                <w:sz w:val="21"/>
                <w:szCs w:val="21"/>
                <w:highlight w:val="none"/>
                <w:lang w:val="en-US" w:eastAsia="zh-CN"/>
              </w:rPr>
              <w:t>依托采坑2现有采空区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排土场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本项目不设排土场，产生的弃土和底泥全部回填至采坑1，待采坑1回填满后，回填至采坑2采空区</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表土场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本表土场设置到工业场地西部，面积2000m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，堆高3m，可以堆放6000m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，采取苫盖、播撒草籽措施，防止扬尘和水土流失</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道路</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厂内及进场道路：</w:t>
            </w:r>
            <w:r>
              <w:rPr>
                <w:rFonts w:hint="eastAsia" w:ascii="Times New Roman" w:hAnsi="Times New Roman" w:eastAsia="宋体"/>
                <w:color w:val="auto"/>
                <w:sz w:val="21"/>
                <w:szCs w:val="21"/>
                <w:highlight w:val="none"/>
                <w:lang w:val="en-US" w:eastAsia="zh-CN"/>
              </w:rPr>
              <w:t>道路采用级配碎石路面，长约</w:t>
            </w:r>
            <w:r>
              <w:rPr>
                <w:rFonts w:hint="eastAsia" w:eastAsia="宋体"/>
                <w:color w:val="auto"/>
                <w:sz w:val="21"/>
                <w:szCs w:val="21"/>
                <w:highlight w:val="none"/>
                <w:lang w:val="en-US" w:eastAsia="zh-CN"/>
              </w:rPr>
              <w:t>3</w:t>
            </w:r>
            <w:r>
              <w:rPr>
                <w:rFonts w:hint="eastAsia" w:ascii="Times New Roman" w:hAnsi="Times New Roman" w:eastAsia="宋体"/>
                <w:color w:val="auto"/>
                <w:sz w:val="21"/>
                <w:szCs w:val="21"/>
                <w:highlight w:val="none"/>
                <w:lang w:val="en-US" w:eastAsia="zh-CN"/>
              </w:rPr>
              <w:t>km，路基宽7.5m，路面宽6m；道路最大纵坡度8%，最小平曲线半径9m</w:t>
            </w:r>
            <w:r>
              <w:rPr>
                <w:rFonts w:hint="eastAsia" w:eastAsia="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厂外依托道路：依托G208国道</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r>
              <w:rPr>
                <w:rFonts w:hint="eastAsia" w:ascii="Times New Roman" w:hAnsi="Times New Roman" w:eastAsia="宋体"/>
                <w:color w:val="auto"/>
                <w:sz w:val="21"/>
                <w:szCs w:val="21"/>
                <w:highlight w:val="none"/>
                <w:lang w:val="en-US" w:eastAsia="zh-CN"/>
              </w:rPr>
              <w:t>公用工程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供电</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由当地电网引入一路10kV架空线路供电，矿区内设有变压器</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供水</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生活用水和生产用水均使用</w:t>
            </w:r>
            <w:r>
              <w:rPr>
                <w:rFonts w:hint="eastAsia" w:eastAsia="宋体"/>
                <w:color w:val="auto"/>
                <w:sz w:val="21"/>
                <w:szCs w:val="21"/>
                <w:highlight w:val="none"/>
                <w:lang w:val="en-US" w:eastAsia="zh-CN"/>
              </w:rPr>
              <w:t>矿区内现有水井</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r>
              <w:rPr>
                <w:rFonts w:hint="eastAsia" w:ascii="Times New Roman" w:hAnsi="Times New Roman"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排水</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生活污水经化粪池处理后，委托第三方拉运至</w:t>
            </w:r>
            <w:r>
              <w:rPr>
                <w:rFonts w:hint="eastAsia" w:eastAsia="宋体"/>
                <w:color w:val="FF0000"/>
                <w:sz w:val="21"/>
                <w:szCs w:val="21"/>
                <w:highlight w:val="none"/>
                <w:lang w:val="en-US" w:eastAsia="zh-CN"/>
              </w:rPr>
              <w:t>朱日和镇</w:t>
            </w:r>
            <w:r>
              <w:rPr>
                <w:rFonts w:hint="eastAsia" w:ascii="Times New Roman" w:hAnsi="Times New Roman" w:eastAsia="宋体"/>
                <w:color w:val="FF0000"/>
                <w:sz w:val="21"/>
                <w:szCs w:val="21"/>
                <w:highlight w:val="none"/>
                <w:lang w:val="en-US" w:eastAsia="zh-CN"/>
              </w:rPr>
              <w:t>生活污水处理厂进行进一步处理</w:t>
            </w:r>
            <w:r>
              <w:rPr>
                <w:rFonts w:hint="eastAsia" w:eastAsia="宋体"/>
                <w:color w:val="FF0000"/>
                <w:sz w:val="21"/>
                <w:szCs w:val="21"/>
                <w:highlight w:val="none"/>
                <w:lang w:val="en-US" w:eastAsia="zh-CN"/>
              </w:rPr>
              <w:t>；洗砂废水经沉淀处理后回用，不外排</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改造</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供暖</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本项目冬季不生产，无需采暖</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环保工程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废水</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洗砂废水经沉淀处理后回用，不外排；</w:t>
            </w:r>
            <w:r>
              <w:rPr>
                <w:rFonts w:hint="eastAsia" w:ascii="Times New Roman" w:hAnsi="Times New Roman" w:eastAsia="宋体"/>
                <w:color w:val="FF0000"/>
                <w:sz w:val="21"/>
                <w:szCs w:val="21"/>
                <w:highlight w:val="none"/>
                <w:lang w:val="en-US" w:eastAsia="zh-CN"/>
              </w:rPr>
              <w:t>生活污水经化粪池处理后，委托第三方拉运至</w:t>
            </w:r>
            <w:r>
              <w:rPr>
                <w:rFonts w:hint="eastAsia" w:eastAsia="宋体"/>
                <w:color w:val="FF0000"/>
                <w:sz w:val="21"/>
                <w:szCs w:val="21"/>
                <w:highlight w:val="none"/>
                <w:lang w:val="en-US" w:eastAsia="zh-CN"/>
              </w:rPr>
              <w:t>朱日和镇</w:t>
            </w:r>
            <w:r>
              <w:rPr>
                <w:rFonts w:hint="eastAsia" w:ascii="Times New Roman" w:hAnsi="Times New Roman" w:eastAsia="宋体"/>
                <w:color w:val="FF0000"/>
                <w:sz w:val="21"/>
                <w:szCs w:val="21"/>
                <w:highlight w:val="none"/>
                <w:lang w:val="en-US" w:eastAsia="zh-CN"/>
              </w:rPr>
              <w:t>生活污水处理厂进行进一步处理</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废气</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采砂场和原料砂堆场采用雾炮机喷雾抑尘；筛分工序采用雾炮机抑尘；成品</w:t>
            </w:r>
            <w:r>
              <w:rPr>
                <w:rFonts w:hint="eastAsia" w:ascii="Times New Roman" w:hAnsi="Times New Roman" w:eastAsia="宋体"/>
                <w:color w:val="FF0000"/>
                <w:sz w:val="21"/>
                <w:szCs w:val="21"/>
                <w:highlight w:val="none"/>
                <w:lang w:val="en-US" w:eastAsia="zh-CN"/>
              </w:rPr>
              <w:t>堆场</w:t>
            </w:r>
            <w:r>
              <w:rPr>
                <w:rFonts w:hint="eastAsia" w:eastAsia="宋体"/>
                <w:color w:val="FF0000"/>
                <w:sz w:val="21"/>
                <w:szCs w:val="21"/>
                <w:highlight w:val="none"/>
                <w:lang w:val="en-US" w:eastAsia="zh-CN"/>
              </w:rPr>
              <w:t>采用苫盖措施；进出场道路采取</w:t>
            </w:r>
            <w:r>
              <w:rPr>
                <w:rFonts w:hint="eastAsia" w:ascii="Times New Roman" w:hAnsi="Times New Roman" w:eastAsia="宋体"/>
                <w:color w:val="FF0000"/>
                <w:sz w:val="21"/>
                <w:szCs w:val="21"/>
                <w:highlight w:val="none"/>
                <w:lang w:val="en-US" w:eastAsia="zh-CN"/>
              </w:rPr>
              <w:t>洒水抑尘，运输车辆覆盖苫布</w:t>
            </w:r>
            <w:r>
              <w:rPr>
                <w:rFonts w:hint="eastAsia" w:eastAsia="宋体"/>
                <w:color w:val="FF0000"/>
                <w:sz w:val="21"/>
                <w:szCs w:val="21"/>
                <w:highlight w:val="none"/>
                <w:lang w:val="en-US" w:eastAsia="zh-CN"/>
              </w:rPr>
              <w:t>措施；表土堆场采取苫盖措施；回填区采取车辆洒水抑尘措施；</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噪声</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选用低噪声设备，车辆减速慢行</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固废</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生活垃圾</w:t>
            </w:r>
            <w:r>
              <w:rPr>
                <w:rFonts w:hint="eastAsia" w:eastAsia="宋体"/>
                <w:color w:val="FF0000"/>
                <w:sz w:val="21"/>
                <w:szCs w:val="21"/>
                <w:highlight w:val="none"/>
                <w:lang w:val="en-US" w:eastAsia="zh-CN"/>
              </w:rPr>
              <w:t>：</w:t>
            </w:r>
            <w:r>
              <w:rPr>
                <w:rFonts w:hint="eastAsia" w:ascii="Times New Roman" w:hAnsi="Times New Roman" w:eastAsia="宋体"/>
                <w:color w:val="FF0000"/>
                <w:sz w:val="21"/>
                <w:szCs w:val="21"/>
                <w:highlight w:val="none"/>
                <w:lang w:val="en-US" w:eastAsia="zh-CN"/>
              </w:rPr>
              <w:t>集中收集，定期外运至</w:t>
            </w:r>
            <w:r>
              <w:rPr>
                <w:rFonts w:hint="eastAsia" w:eastAsia="宋体"/>
                <w:color w:val="FF0000"/>
                <w:sz w:val="21"/>
                <w:szCs w:val="21"/>
                <w:highlight w:val="none"/>
                <w:lang w:val="en-US" w:eastAsia="zh-CN"/>
              </w:rPr>
              <w:t>朱日和镇</w:t>
            </w:r>
            <w:r>
              <w:rPr>
                <w:rFonts w:hint="eastAsia" w:ascii="Times New Roman" w:hAnsi="Times New Roman" w:eastAsia="宋体"/>
                <w:color w:val="FF0000"/>
                <w:sz w:val="21"/>
                <w:szCs w:val="21"/>
                <w:highlight w:val="none"/>
                <w:lang w:val="en-US" w:eastAsia="zh-CN"/>
              </w:rPr>
              <w:t>生活垃圾填埋场填埋处置</w:t>
            </w:r>
            <w:r>
              <w:rPr>
                <w:rFonts w:hint="eastAsia" w:eastAsia="宋体"/>
                <w:color w:val="FF0000"/>
                <w:sz w:val="21"/>
                <w:szCs w:val="21"/>
                <w:highlight w:val="none"/>
                <w:lang w:val="en-US" w:eastAsia="zh-CN"/>
              </w:rPr>
              <w:t>；洗砂废石：能出售的优先出售利用，不能出售的回填至采空区；脱水底泥回填至采空区</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cs="Times New Roman"/>
          <w:b/>
          <w:bCs w:val="0"/>
          <w:color w:val="auto"/>
          <w:highlight w:val="none"/>
          <w:lang w:val="en-US" w:eastAsia="zh-CN"/>
        </w:rPr>
      </w:pPr>
      <w:bookmarkStart w:id="94" w:name="_Toc8435"/>
      <w:r>
        <w:rPr>
          <w:rFonts w:hint="eastAsia" w:ascii="Times New Roman" w:hAnsi="Times New Roman" w:eastAsia="宋体" w:cs="Times New Roman"/>
          <w:b/>
          <w:bCs w:val="0"/>
          <w:color w:val="auto"/>
          <w:highlight w:val="none"/>
          <w:lang w:val="en-US" w:eastAsia="zh-CN"/>
        </w:rPr>
        <w:t>3.2.5 项目主要设备</w:t>
      </w:r>
      <w:bookmarkEnd w:id="94"/>
    </w:p>
    <w:p>
      <w:pPr>
        <w:ind w:left="0" w:leftChars="0" w:firstLine="480" w:firstLineChars="20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w:t>
      </w:r>
      <w:r>
        <w:rPr>
          <w:rFonts w:hint="eastAsia" w:eastAsia="宋体"/>
          <w:b w:val="0"/>
          <w:bCs/>
          <w:color w:val="auto"/>
          <w:highlight w:val="none"/>
          <w:lang w:val="en-US" w:eastAsia="zh-CN"/>
        </w:rPr>
        <w:t>新增</w:t>
      </w:r>
      <w:r>
        <w:rPr>
          <w:rFonts w:hint="eastAsia" w:ascii="Times New Roman" w:hAnsi="Times New Roman" w:eastAsia="宋体"/>
          <w:b w:val="0"/>
          <w:bCs/>
          <w:color w:val="auto"/>
          <w:highlight w:val="none"/>
          <w:lang w:val="en-US" w:eastAsia="zh-CN"/>
        </w:rPr>
        <w:t>主要生产设备见表3.2-4。</w:t>
      </w:r>
    </w:p>
    <w:p>
      <w:pPr>
        <w:ind w:left="0" w:leftChars="0" w:firstLine="0" w:firstLineChars="0"/>
        <w:jc w:val="center"/>
        <w:rPr>
          <w:rFonts w:hint="eastAsia" w:ascii="Times New Roman" w:hAnsi="Times New Roman" w:eastAsia="宋体"/>
          <w:b w:val="0"/>
          <w:bCs/>
          <w:color w:val="auto"/>
          <w:highlight w:val="none"/>
          <w:lang w:val="en-US" w:eastAsia="zh-CN"/>
        </w:rPr>
      </w:pPr>
      <w:r>
        <w:rPr>
          <w:rFonts w:hint="eastAsia" w:ascii="Times New Roman" w:hAnsi="Times New Roman" w:eastAsia="宋体"/>
          <w:b/>
          <w:bCs w:val="0"/>
          <w:color w:val="auto"/>
          <w:highlight w:val="none"/>
          <w:lang w:val="en-US" w:eastAsia="zh-CN"/>
        </w:rPr>
        <w:t>表3.2-4  项目</w:t>
      </w:r>
      <w:r>
        <w:rPr>
          <w:rFonts w:hint="eastAsia" w:eastAsia="宋体"/>
          <w:b/>
          <w:bCs w:val="0"/>
          <w:color w:val="auto"/>
          <w:highlight w:val="none"/>
          <w:lang w:val="en-US" w:eastAsia="zh-CN"/>
        </w:rPr>
        <w:t>新增</w:t>
      </w:r>
      <w:r>
        <w:rPr>
          <w:rFonts w:hint="eastAsia" w:ascii="Times New Roman" w:hAnsi="Times New Roman" w:eastAsia="宋体"/>
          <w:b/>
          <w:bCs w:val="0"/>
          <w:color w:val="auto"/>
          <w:highlight w:val="none"/>
          <w:lang w:val="en-US" w:eastAsia="zh-CN"/>
        </w:rPr>
        <w:t>主要生产设备一览表</w:t>
      </w:r>
    </w:p>
    <w:tbl>
      <w:tblPr>
        <w:tblStyle w:val="35"/>
        <w:tblW w:w="789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397"/>
        <w:gridCol w:w="1126"/>
        <w:gridCol w:w="730"/>
        <w:gridCol w:w="288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序号</w:t>
            </w:r>
          </w:p>
        </w:tc>
        <w:tc>
          <w:tcPr>
            <w:tcW w:w="2397"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设备名称</w:t>
            </w:r>
          </w:p>
        </w:tc>
        <w:tc>
          <w:tcPr>
            <w:tcW w:w="1126"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单位</w:t>
            </w:r>
          </w:p>
        </w:tc>
        <w:tc>
          <w:tcPr>
            <w:tcW w:w="730"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数量</w:t>
            </w:r>
          </w:p>
        </w:tc>
        <w:tc>
          <w:tcPr>
            <w:tcW w:w="2881"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2"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ascii="Times New Roman" w:hAnsi="Times New Roman" w:eastAsia="宋体"/>
                <w:b w:val="0"/>
                <w:bCs/>
                <w:color w:val="FF0000"/>
                <w:sz w:val="21"/>
                <w:szCs w:val="21"/>
                <w:highlight w:val="none"/>
                <w:lang w:val="en-US" w:eastAsia="zh-CN"/>
              </w:rPr>
              <w:t>1</w:t>
            </w:r>
          </w:p>
        </w:tc>
        <w:tc>
          <w:tcPr>
            <w:tcW w:w="2397"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洗砂机</w:t>
            </w:r>
          </w:p>
        </w:tc>
        <w:tc>
          <w:tcPr>
            <w:tcW w:w="1126"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套</w:t>
            </w:r>
          </w:p>
        </w:tc>
        <w:tc>
          <w:tcPr>
            <w:tcW w:w="730"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1</w:t>
            </w:r>
          </w:p>
        </w:tc>
        <w:tc>
          <w:tcPr>
            <w:tcW w:w="2881"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ascii="Times New Roman" w:hAnsi="Times New Roman" w:eastAsia="宋体"/>
                <w:b w:val="0"/>
                <w:bCs/>
                <w:color w:val="FF0000"/>
                <w:sz w:val="21"/>
                <w:szCs w:val="21"/>
                <w:highlight w:val="none"/>
                <w:lang w:val="en-US" w:eastAsia="zh-CN"/>
              </w:rPr>
              <w:t>新增</w:t>
            </w:r>
            <w:r>
              <w:rPr>
                <w:rFonts w:hint="eastAsia" w:eastAsia="宋体"/>
                <w:b w:val="0"/>
                <w:bCs/>
                <w:color w:val="FF0000"/>
                <w:sz w:val="21"/>
                <w:szCs w:val="21"/>
                <w:highlight w:val="none"/>
                <w:lang w:val="en-US" w:eastAsia="zh-CN"/>
              </w:rPr>
              <w:t>，包括受料斗、筛分机、洗砂机、捞沙斣以及传输皮带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w:t>
            </w:r>
          </w:p>
        </w:tc>
        <w:tc>
          <w:tcPr>
            <w:tcW w:w="2397"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脱水机</w:t>
            </w:r>
          </w:p>
        </w:tc>
        <w:tc>
          <w:tcPr>
            <w:tcW w:w="1126"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台</w:t>
            </w:r>
          </w:p>
        </w:tc>
        <w:tc>
          <w:tcPr>
            <w:tcW w:w="730"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1</w:t>
            </w:r>
          </w:p>
        </w:tc>
        <w:tc>
          <w:tcPr>
            <w:tcW w:w="2881"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新增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dxa"/>
            <w:noWrap w:val="0"/>
            <w:vAlign w:val="center"/>
          </w:tcPr>
          <w:p>
            <w:pPr>
              <w:ind w:left="0" w:leftChars="0" w:firstLine="0" w:firstLineChars="0"/>
              <w:jc w:val="center"/>
              <w:rPr>
                <w:rFonts w:hint="default" w:ascii="Times New Roman" w:hAnsi="Times New Roman" w:eastAsia="宋体"/>
                <w:b w:val="0"/>
                <w:bCs/>
                <w:color w:val="FF0000"/>
                <w:sz w:val="21"/>
                <w:szCs w:val="21"/>
                <w:highlight w:val="none"/>
                <w:lang w:val="en-US" w:eastAsia="zh-CN"/>
              </w:rPr>
            </w:pPr>
            <w:bookmarkStart w:id="95" w:name="_Toc27002"/>
            <w:r>
              <w:rPr>
                <w:rFonts w:hint="eastAsia" w:eastAsia="宋体"/>
                <w:b w:val="0"/>
                <w:bCs/>
                <w:color w:val="FF0000"/>
                <w:sz w:val="21"/>
                <w:szCs w:val="21"/>
                <w:highlight w:val="none"/>
                <w:lang w:val="en-US" w:eastAsia="zh-CN"/>
              </w:rPr>
              <w:t>3</w:t>
            </w:r>
          </w:p>
        </w:tc>
        <w:tc>
          <w:tcPr>
            <w:tcW w:w="2397" w:type="dxa"/>
            <w:noWrap w:val="0"/>
            <w:vAlign w:val="center"/>
          </w:tcPr>
          <w:p>
            <w:pPr>
              <w:ind w:left="0" w:leftChars="0" w:firstLine="0" w:firstLineChars="0"/>
              <w:jc w:val="center"/>
              <w:rPr>
                <w:rFonts w:hint="default"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雾炮机</w:t>
            </w:r>
          </w:p>
        </w:tc>
        <w:tc>
          <w:tcPr>
            <w:tcW w:w="1126" w:type="dxa"/>
            <w:noWrap w:val="0"/>
            <w:vAlign w:val="center"/>
          </w:tcPr>
          <w:p>
            <w:pPr>
              <w:ind w:left="0" w:leftChars="0" w:firstLine="0" w:firstLineChars="0"/>
              <w:jc w:val="center"/>
              <w:rPr>
                <w:rFonts w:hint="default"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台</w:t>
            </w:r>
          </w:p>
        </w:tc>
        <w:tc>
          <w:tcPr>
            <w:tcW w:w="730" w:type="dxa"/>
            <w:noWrap w:val="0"/>
            <w:vAlign w:val="center"/>
          </w:tcPr>
          <w:p>
            <w:pPr>
              <w:ind w:left="0" w:leftChars="0" w:firstLine="0" w:firstLineChars="0"/>
              <w:jc w:val="center"/>
              <w:rPr>
                <w:rFonts w:hint="default"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1</w:t>
            </w:r>
          </w:p>
        </w:tc>
        <w:tc>
          <w:tcPr>
            <w:tcW w:w="2881" w:type="dxa"/>
            <w:noWrap w:val="0"/>
            <w:vAlign w:val="center"/>
          </w:tcPr>
          <w:p>
            <w:pPr>
              <w:ind w:left="0" w:leftChars="0" w:firstLine="0" w:firstLineChars="0"/>
              <w:jc w:val="center"/>
              <w:rPr>
                <w:rFonts w:hint="default"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新增</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3.2.</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 xml:space="preserve"> 平面布置及周边关系情况</w:t>
      </w:r>
      <w:bookmarkEnd w:id="95"/>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（1）平面布置</w:t>
      </w:r>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本项目结合厂区实际情况及相关设计标准的要求，遵照国家有关规范、规定，力求做到总平面布局合理，工艺流程顺畅，各种路线短捷。</w:t>
      </w:r>
      <w:r>
        <w:rPr>
          <w:rFonts w:hint="eastAsia" w:eastAsia="宋体" w:cs="Times New Roman"/>
          <w:b w:val="0"/>
          <w:bCs/>
          <w:color w:val="auto"/>
          <w:kern w:val="2"/>
          <w:sz w:val="24"/>
          <w:szCs w:val="22"/>
          <w:highlight w:val="none"/>
          <w:lang w:val="en-US" w:eastAsia="zh-CN" w:bidi="ar-SA"/>
        </w:rPr>
        <w:t>办公生活区现位于矿区西南角，待开采现有生活区砂料时，生活区搬迁至矿区南侧，仍位于矿区内；表土堆场位于工业场地西侧，工业场地位于厂区中心，成品堆场位于采坑2北侧采空区，待采坑1填埋后，利用成品堆场作为回填区，成品堆场随着采坑2难移，采坑2位于矿区东侧，向南，向东掘进</w:t>
      </w:r>
      <w:r>
        <w:rPr>
          <w:rFonts w:hint="eastAsia" w:ascii="Times New Roman" w:hAnsi="Times New Roman" w:eastAsia="宋体" w:cs="Times New Roman"/>
          <w:b w:val="0"/>
          <w:bCs/>
          <w:color w:val="auto"/>
          <w:kern w:val="2"/>
          <w:sz w:val="24"/>
          <w:szCs w:val="22"/>
          <w:highlight w:val="none"/>
          <w:lang w:val="en-US" w:eastAsia="zh-CN" w:bidi="ar-SA"/>
        </w:rPr>
        <w:t>。</w:t>
      </w:r>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项目具体平面布置见</w:t>
      </w:r>
      <w:r>
        <w:rPr>
          <w:rFonts w:hint="eastAsia" w:eastAsia="宋体" w:cs="Times New Roman"/>
          <w:b w:val="0"/>
          <w:bCs/>
          <w:color w:val="auto"/>
          <w:kern w:val="2"/>
          <w:sz w:val="24"/>
          <w:szCs w:val="22"/>
          <w:highlight w:val="none"/>
          <w:lang w:val="en-US" w:eastAsia="zh-CN" w:bidi="ar-SA"/>
        </w:rPr>
        <w:t>附图5</w:t>
      </w:r>
      <w:r>
        <w:rPr>
          <w:rFonts w:hint="eastAsia" w:ascii="Times New Roman" w:hAnsi="Times New Roman" w:eastAsia="宋体" w:cs="Times New Roman"/>
          <w:b w:val="0"/>
          <w:bCs/>
          <w:color w:val="auto"/>
          <w:kern w:val="2"/>
          <w:sz w:val="24"/>
          <w:szCs w:val="22"/>
          <w:highlight w:val="none"/>
          <w:lang w:val="en-US" w:eastAsia="zh-CN" w:bidi="ar-SA"/>
        </w:rPr>
        <w:t>。</w:t>
      </w:r>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（2）周边关系</w:t>
      </w:r>
    </w:p>
    <w:p>
      <w:pPr>
        <w:pStyle w:val="34"/>
        <w:ind w:left="0" w:leftChars="0" w:firstLine="480" w:firstLineChars="200"/>
        <w:rPr>
          <w:rFonts w:hint="eastAsia" w:ascii="Times New Roman" w:hAnsi="Times New Roman" w:eastAsia="宋体" w:cs="Times New Roman"/>
          <w:b w:val="0"/>
          <w:bCs/>
          <w:color w:val="auto"/>
          <w:kern w:val="2"/>
          <w:sz w:val="24"/>
          <w:szCs w:val="22"/>
          <w:highlight w:val="yellow"/>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本项目位于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s="Times New Roman"/>
          <w:b w:val="0"/>
          <w:bCs/>
          <w:color w:val="auto"/>
          <w:kern w:val="2"/>
          <w:sz w:val="24"/>
          <w:szCs w:val="22"/>
          <w:highlight w:val="none"/>
          <w:lang w:val="en-US" w:eastAsia="zh-CN" w:bidi="ar-SA"/>
        </w:rPr>
        <w:t>。矿区</w:t>
      </w:r>
      <w:r>
        <w:rPr>
          <w:rFonts w:hint="eastAsia" w:eastAsia="宋体" w:cs="Times New Roman"/>
          <w:b w:val="0"/>
          <w:bCs/>
          <w:color w:val="auto"/>
          <w:kern w:val="2"/>
          <w:sz w:val="24"/>
          <w:szCs w:val="22"/>
          <w:highlight w:val="none"/>
          <w:lang w:val="en-US" w:eastAsia="zh-CN" w:bidi="ar-SA"/>
        </w:rPr>
        <w:t>四周均</w:t>
      </w:r>
      <w:r>
        <w:rPr>
          <w:rFonts w:hint="eastAsia" w:ascii="Times New Roman" w:hAnsi="Times New Roman" w:eastAsia="宋体" w:cs="Times New Roman"/>
          <w:b w:val="0"/>
          <w:bCs/>
          <w:color w:val="auto"/>
          <w:kern w:val="2"/>
          <w:sz w:val="24"/>
          <w:szCs w:val="22"/>
          <w:highlight w:val="none"/>
          <w:lang w:val="en-US" w:eastAsia="zh-CN" w:bidi="ar-SA"/>
        </w:rPr>
        <w:t>是草地；东南1</w:t>
      </w:r>
      <w:r>
        <w:rPr>
          <w:rFonts w:hint="eastAsia" w:eastAsia="宋体" w:cs="Times New Roman"/>
          <w:b w:val="0"/>
          <w:bCs/>
          <w:color w:val="auto"/>
          <w:kern w:val="2"/>
          <w:sz w:val="24"/>
          <w:szCs w:val="22"/>
          <w:highlight w:val="none"/>
          <w:lang w:val="en-US" w:eastAsia="zh-CN" w:bidi="ar-SA"/>
        </w:rPr>
        <w:t>k</w:t>
      </w:r>
      <w:r>
        <w:rPr>
          <w:rFonts w:hint="eastAsia" w:ascii="Times New Roman" w:hAnsi="Times New Roman" w:eastAsia="宋体" w:cs="Times New Roman"/>
          <w:b w:val="0"/>
          <w:bCs/>
          <w:color w:val="auto"/>
          <w:kern w:val="2"/>
          <w:sz w:val="24"/>
          <w:szCs w:val="22"/>
          <w:highlight w:val="none"/>
          <w:lang w:val="en-US" w:eastAsia="zh-CN" w:bidi="ar-SA"/>
        </w:rPr>
        <w:t>m</w:t>
      </w:r>
      <w:r>
        <w:rPr>
          <w:rFonts w:hint="eastAsia" w:eastAsia="宋体" w:cs="Times New Roman"/>
          <w:b w:val="0"/>
          <w:bCs/>
          <w:color w:val="auto"/>
          <w:kern w:val="2"/>
          <w:sz w:val="24"/>
          <w:szCs w:val="22"/>
          <w:highlight w:val="none"/>
          <w:lang w:val="en-US" w:eastAsia="zh-CN" w:bidi="ar-SA"/>
        </w:rPr>
        <w:t>~2.1km分布有居民</w:t>
      </w:r>
      <w:r>
        <w:rPr>
          <w:rFonts w:hint="eastAsia" w:ascii="Times New Roman" w:hAnsi="Times New Roman" w:eastAsia="宋体" w:cs="Times New Roman"/>
          <w:b w:val="0"/>
          <w:bCs/>
          <w:color w:val="auto"/>
          <w:kern w:val="2"/>
          <w:sz w:val="24"/>
          <w:szCs w:val="22"/>
          <w:highlight w:val="none"/>
          <w:lang w:val="en-US" w:eastAsia="zh-CN" w:bidi="ar-SA"/>
        </w:rPr>
        <w:t>。项目周边关系情况见</w:t>
      </w:r>
      <w:r>
        <w:rPr>
          <w:rFonts w:hint="eastAsia" w:eastAsia="宋体" w:cs="Times New Roman"/>
          <w:b w:val="0"/>
          <w:bCs/>
          <w:color w:val="auto"/>
          <w:kern w:val="2"/>
          <w:sz w:val="24"/>
          <w:szCs w:val="22"/>
          <w:highlight w:val="none"/>
          <w:lang w:val="en-US" w:eastAsia="zh-CN" w:bidi="ar-SA"/>
        </w:rPr>
        <w:t>附图6</w:t>
      </w:r>
      <w:r>
        <w:rPr>
          <w:rFonts w:hint="eastAsia" w:ascii="Times New Roman" w:hAnsi="Times New Roman" w:eastAsia="宋体" w:cs="Times New Roman"/>
          <w:b w:val="0"/>
          <w:bCs/>
          <w:color w:val="auto"/>
          <w:kern w:val="2"/>
          <w:sz w:val="24"/>
          <w:szCs w:val="22"/>
          <w:highlight w:val="none"/>
          <w:lang w:val="en-US" w:eastAsia="zh-CN" w:bidi="ar-SA"/>
        </w:rPr>
        <w:t>。</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96" w:name="_Toc15744"/>
      <w:r>
        <w:rPr>
          <w:rFonts w:hint="eastAsia" w:ascii="Times New Roman" w:hAnsi="Times New Roman" w:eastAsia="宋体"/>
          <w:b/>
          <w:bCs w:val="0"/>
          <w:color w:val="auto"/>
          <w:highlight w:val="none"/>
          <w:lang w:val="en-US" w:eastAsia="zh-CN"/>
        </w:rPr>
        <w:t>3.2.8 公用工程</w:t>
      </w:r>
      <w:bookmarkEnd w:id="9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（1）供电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由当地电网引入一路10kV架空线路供电，矿区内设有变压器，能够满足项目使用需求。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（2）供水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w:t>
      </w:r>
      <w:r>
        <w:rPr>
          <w:rFonts w:hint="eastAsia" w:eastAsia="宋体"/>
          <w:b w:val="0"/>
          <w:bCs/>
          <w:color w:val="auto"/>
          <w:highlight w:val="none"/>
          <w:lang w:val="en-US" w:eastAsia="zh-CN"/>
        </w:rPr>
        <w:t>无新增职工，无新增</w:t>
      </w:r>
      <w:r>
        <w:rPr>
          <w:rFonts w:hint="eastAsia" w:ascii="Times New Roman" w:hAnsi="Times New Roman" w:eastAsia="宋体"/>
          <w:b w:val="0"/>
          <w:bCs/>
          <w:color w:val="auto"/>
          <w:highlight w:val="none"/>
          <w:lang w:val="en-US" w:eastAsia="zh-CN"/>
        </w:rPr>
        <w:t>生活用水</w:t>
      </w:r>
      <w:r>
        <w:rPr>
          <w:rFonts w:hint="eastAsia" w:eastAsia="宋体"/>
          <w:b w:val="0"/>
          <w:bCs/>
          <w:color w:val="auto"/>
          <w:highlight w:val="none"/>
          <w:lang w:val="en-US" w:eastAsia="zh-CN"/>
        </w:rPr>
        <w:t>，本项目新增用水主要为洗砂用水和洒水抑尘用水</w:t>
      </w:r>
      <w:r>
        <w:rPr>
          <w:rFonts w:hint="eastAsia" w:ascii="Times New Roman" w:hAnsi="Times New Roman" w:eastAsia="宋体"/>
          <w:b w:val="0"/>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本项目采矿生产用水主要为抑尘洒水</w:t>
      </w:r>
      <w:r>
        <w:rPr>
          <w:rFonts w:hint="eastAsia" w:eastAsia="宋体"/>
          <w:b w:val="0"/>
          <w:bCs/>
          <w:color w:val="auto"/>
          <w:highlight w:val="none"/>
          <w:lang w:val="en-US" w:eastAsia="zh-CN"/>
        </w:rPr>
        <w:t>（包括道路、表土场、成品堆场、开采作业面、原料砂堆场、回填区抑尘用水）和洗沙用水。抑尘用水量为2400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w:t>
      </w:r>
      <w:r>
        <w:rPr>
          <w:rFonts w:hint="eastAsia" w:ascii="Times New Roman" w:hAnsi="Times New Roman" w:eastAsia="宋体"/>
          <w:b w:val="0"/>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FF0000"/>
          <w:highlight w:val="none"/>
          <w:lang w:val="en-US" w:eastAsia="zh-CN"/>
        </w:rPr>
      </w:pPr>
      <w:r>
        <w:rPr>
          <w:rFonts w:hint="eastAsia" w:ascii="Times New Roman" w:hAnsi="Times New Roman" w:eastAsia="宋体"/>
          <w:b w:val="0"/>
          <w:bCs/>
          <w:color w:val="FF0000"/>
          <w:highlight w:val="none"/>
          <w:lang w:val="en-US" w:eastAsia="zh-CN"/>
        </w:rPr>
        <w:t>矿区内用水均由</w:t>
      </w:r>
      <w:r>
        <w:rPr>
          <w:rFonts w:hint="eastAsia" w:eastAsia="宋体"/>
          <w:b w:val="0"/>
          <w:bCs/>
          <w:color w:val="FF0000"/>
          <w:highlight w:val="none"/>
          <w:lang w:val="en-US" w:eastAsia="zh-CN"/>
        </w:rPr>
        <w:t>现有水井</w:t>
      </w:r>
      <w:r>
        <w:rPr>
          <w:rFonts w:hint="eastAsia" w:ascii="Times New Roman" w:hAnsi="Times New Roman" w:eastAsia="宋体"/>
          <w:b w:val="0"/>
          <w:bCs/>
          <w:color w:val="FF0000"/>
          <w:highlight w:val="none"/>
          <w:lang w:val="en-US" w:eastAsia="zh-CN"/>
        </w:rPr>
        <w:t>供给，总用水量为</w:t>
      </w:r>
      <w:r>
        <w:rPr>
          <w:rFonts w:hint="eastAsia" w:eastAsia="宋体"/>
          <w:b w:val="0"/>
          <w:bCs/>
          <w:color w:val="FF0000"/>
          <w:highlight w:val="none"/>
          <w:lang w:val="en-US" w:eastAsia="zh-CN"/>
        </w:rPr>
        <w:t>8670</w:t>
      </w:r>
      <w:r>
        <w:rPr>
          <w:rFonts w:hint="eastAsia" w:ascii="Times New Roman" w:hAnsi="Times New Roman" w:eastAsia="宋体"/>
          <w:b w:val="0"/>
          <w:bCs/>
          <w:color w:val="FF0000"/>
          <w:highlight w:val="none"/>
          <w:lang w:val="en-US" w:eastAsia="zh-CN"/>
        </w:rPr>
        <w:t>m</w:t>
      </w:r>
      <w:r>
        <w:rPr>
          <w:rFonts w:hint="eastAsia" w:ascii="Times New Roman" w:hAnsi="Times New Roman" w:eastAsia="宋体"/>
          <w:b w:val="0"/>
          <w:bCs/>
          <w:color w:val="FF0000"/>
          <w:highlight w:val="none"/>
          <w:vertAlign w:val="superscript"/>
          <w:lang w:val="en-US" w:eastAsia="zh-CN"/>
        </w:rPr>
        <w:t>3</w:t>
      </w:r>
      <w:r>
        <w:rPr>
          <w:rFonts w:hint="eastAsia" w:ascii="Times New Roman" w:hAnsi="Times New Roman" w:eastAsia="宋体"/>
          <w:b w:val="0"/>
          <w:bCs/>
          <w:color w:val="FF0000"/>
          <w:highlight w:val="none"/>
          <w:lang w:val="en-US" w:eastAsia="zh-CN"/>
        </w:rPr>
        <w:t>/</w:t>
      </w:r>
      <w:r>
        <w:rPr>
          <w:rFonts w:hint="eastAsia" w:eastAsia="宋体"/>
          <w:b w:val="0"/>
          <w:bCs/>
          <w:color w:val="FF0000"/>
          <w:highlight w:val="none"/>
          <w:lang w:val="en-US" w:eastAsia="zh-CN"/>
        </w:rPr>
        <w:t>a</w:t>
      </w:r>
      <w:r>
        <w:rPr>
          <w:rFonts w:hint="eastAsia" w:ascii="Times New Roman" w:hAnsi="Times New Roman" w:eastAsia="宋体"/>
          <w:b w:val="0"/>
          <w:bCs/>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（3）排水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本</w:t>
      </w:r>
      <w:r>
        <w:rPr>
          <w:rFonts w:hint="eastAsia" w:ascii="Times New Roman" w:hAnsi="Times New Roman" w:eastAsia="宋体"/>
          <w:b w:val="0"/>
          <w:bCs/>
          <w:color w:val="auto"/>
          <w:highlight w:val="none"/>
          <w:lang w:val="en-US" w:eastAsia="zh-CN"/>
        </w:rPr>
        <w:t>项目</w:t>
      </w:r>
      <w:r>
        <w:rPr>
          <w:rFonts w:hint="eastAsia" w:eastAsia="宋体"/>
          <w:b w:val="0"/>
          <w:bCs/>
          <w:color w:val="auto"/>
          <w:highlight w:val="none"/>
          <w:lang w:val="en-US" w:eastAsia="zh-CN"/>
        </w:rPr>
        <w:t>无</w:t>
      </w:r>
      <w:r>
        <w:rPr>
          <w:rFonts w:hint="eastAsia" w:ascii="Times New Roman" w:hAnsi="Times New Roman" w:eastAsia="宋体"/>
          <w:b w:val="0"/>
          <w:bCs/>
          <w:color w:val="auto"/>
          <w:highlight w:val="none"/>
          <w:lang w:val="en-US" w:eastAsia="zh-CN"/>
        </w:rPr>
        <w:t>生活污水</w:t>
      </w:r>
      <w:r>
        <w:rPr>
          <w:rFonts w:hint="eastAsia" w:eastAsia="宋体"/>
          <w:b w:val="0"/>
          <w:bCs/>
          <w:color w:val="auto"/>
          <w:highlight w:val="none"/>
          <w:lang w:val="en-US" w:eastAsia="zh-CN"/>
        </w:rPr>
        <w:t>产生，洗砂废水经沉淀池处理后回用于洗砂工序，不外排</w:t>
      </w:r>
      <w:r>
        <w:rPr>
          <w:rFonts w:hint="eastAsia" w:ascii="Times New Roman" w:hAnsi="Times New Roman" w:eastAsia="宋体"/>
          <w:b w:val="0"/>
          <w:bCs/>
          <w:color w:val="auto"/>
          <w:highlight w:val="none"/>
          <w:lang w:val="en-US" w:eastAsia="zh-CN"/>
        </w:rPr>
        <w:t>。项目用水平衡</w:t>
      </w:r>
      <w:r>
        <w:rPr>
          <w:rFonts w:hint="eastAsia" w:eastAsia="宋体"/>
          <w:b w:val="0"/>
          <w:bCs/>
          <w:color w:val="auto"/>
          <w:highlight w:val="none"/>
          <w:lang w:val="en-US" w:eastAsia="zh-CN"/>
        </w:rPr>
        <w:t>见表3.2-5和</w:t>
      </w:r>
      <w:r>
        <w:rPr>
          <w:rFonts w:hint="eastAsia" w:ascii="Times New Roman" w:hAnsi="Times New Roman" w:eastAsia="宋体"/>
          <w:b w:val="0"/>
          <w:bCs/>
          <w:color w:val="auto"/>
          <w:highlight w:val="none"/>
          <w:lang w:val="en-US" w:eastAsia="zh-CN"/>
        </w:rPr>
        <w:t>图3.2-</w:t>
      </w:r>
      <w:r>
        <w:rPr>
          <w:rFonts w:hint="eastAsia" w:eastAsia="宋体"/>
          <w:b w:val="0"/>
          <w:bCs/>
          <w:color w:val="auto"/>
          <w:highlight w:val="none"/>
          <w:lang w:val="en-US" w:eastAsia="zh-CN"/>
        </w:rPr>
        <w:t>1</w:t>
      </w:r>
      <w:r>
        <w:rPr>
          <w:rFonts w:hint="eastAsia" w:ascii="Times New Roman" w:hAnsi="Times New Roman" w:eastAsia="宋体"/>
          <w:b w:val="0"/>
          <w:bCs/>
          <w:color w:val="auto"/>
          <w:highlight w:val="none"/>
          <w:lang w:val="en-US" w:eastAsia="zh-CN"/>
        </w:rPr>
        <w:t>。</w:t>
      </w:r>
    </w:p>
    <w:p>
      <w:pPr>
        <w:ind w:left="0" w:leftChars="0" w:firstLine="0" w:firstLineChars="0"/>
        <w:jc w:val="center"/>
        <w:rPr>
          <w:rFonts w:hint="default" w:eastAsia="宋体"/>
          <w:b/>
          <w:bCs/>
          <w:color w:val="FF0000"/>
          <w:sz w:val="24"/>
          <w:highlight w:val="none"/>
          <w:lang w:val="en-US" w:eastAsia="zh-CN"/>
        </w:rPr>
      </w:pPr>
      <w:r>
        <w:rPr>
          <w:rFonts w:hint="eastAsia" w:eastAsia="宋体"/>
          <w:b/>
          <w:bCs/>
          <w:color w:val="FF0000"/>
          <w:sz w:val="24"/>
          <w:highlight w:val="none"/>
          <w:lang w:val="en-US" w:eastAsia="zh-CN"/>
        </w:rPr>
        <w:t>表3.2-5 本项目用水平衡</w:t>
      </w:r>
    </w:p>
    <w:tbl>
      <w:tblPr>
        <w:tblStyle w:val="36"/>
        <w:tblW w:w="0" w:type="auto"/>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2118"/>
        <w:gridCol w:w="2118"/>
        <w:gridCol w:w="21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6" w:type="dxa"/>
            <w:gridSpan w:val="2"/>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需水量</w:t>
            </w:r>
          </w:p>
        </w:tc>
        <w:tc>
          <w:tcPr>
            <w:tcW w:w="4236" w:type="dxa"/>
            <w:gridSpan w:val="2"/>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排放及损耗量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名称</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用量（m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vertAlign w:val="baseline"/>
                <w:lang w:val="en-US" w:eastAsia="zh-CN"/>
              </w:rPr>
              <w:t>/a）</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名称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损耗量（m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vertAlign w:val="baseline"/>
                <w:lang w:val="en-US" w:eastAsia="zh-CN"/>
              </w:rPr>
              <w: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洗砂用水</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6270</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砂料带走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4920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抑尘用水</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2400</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石料带走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底泥带走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1150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损耗</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2400</w:t>
            </w:r>
          </w:p>
        </w:tc>
      </w:tr>
    </w:tbl>
    <w:p>
      <w:pPr>
        <w:ind w:left="0" w:leftChars="0" w:firstLine="0" w:firstLineChars="0"/>
        <w:rPr>
          <w:highlight w:val="none"/>
        </w:rPr>
      </w:pPr>
    </w:p>
    <w:p>
      <w:pPr>
        <w:ind w:left="0" w:leftChars="0" w:firstLine="0" w:firstLineChars="0"/>
        <w:rPr>
          <w:highlight w:val="none"/>
        </w:rPr>
      </w:pPr>
    </w:p>
    <w:p>
      <w:pPr>
        <w:ind w:left="0" w:leftChars="0" w:firstLine="0" w:firstLineChars="0"/>
        <w:rPr>
          <w:highlight w:val="none"/>
        </w:rPr>
      </w:pPr>
    </w:p>
    <w:p>
      <w:pPr>
        <w:ind w:left="0" w:leftChars="0" w:firstLine="0" w:firstLineChars="0"/>
        <w:rPr>
          <w:rFonts w:hint="eastAsia" w:ascii="Times New Roman" w:hAnsi="Times New Roman" w:eastAsia="宋体"/>
          <w:b w:val="0"/>
          <w:bCs/>
          <w:color w:val="auto"/>
          <w:highlight w:val="none"/>
          <w:lang w:val="en-US" w:eastAsia="zh-CN"/>
        </w:rPr>
      </w:pPr>
      <w:r>
        <w:rPr>
          <w:highlight w:val="none"/>
        </w:rPr>
        <w:drawing>
          <wp:inline distT="0" distB="0" distL="114300" distR="114300">
            <wp:extent cx="5241925" cy="2691765"/>
            <wp:effectExtent l="0" t="0" r="15875" b="1333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37"/>
                    <a:stretch>
                      <a:fillRect/>
                    </a:stretch>
                  </pic:blipFill>
                  <pic:spPr>
                    <a:xfrm>
                      <a:off x="0" y="0"/>
                      <a:ext cx="5241925" cy="26917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图3.2-</w:t>
      </w:r>
      <w:r>
        <w:rPr>
          <w:rFonts w:hint="eastAsia" w:eastAsia="宋体"/>
          <w:b/>
          <w:bCs w:val="0"/>
          <w:color w:val="auto"/>
          <w:highlight w:val="none"/>
          <w:lang w:val="en-US" w:eastAsia="zh-CN"/>
        </w:rPr>
        <w:t>1</w:t>
      </w:r>
      <w:r>
        <w:rPr>
          <w:rFonts w:hint="eastAsia" w:ascii="Times New Roman" w:hAnsi="Times New Roman" w:eastAsia="宋体"/>
          <w:b/>
          <w:bCs w:val="0"/>
          <w:color w:val="auto"/>
          <w:highlight w:val="none"/>
          <w:lang w:val="en-US" w:eastAsia="zh-CN"/>
        </w:rPr>
        <w:t xml:space="preserve">   项目用水平衡图   单位：m</w:t>
      </w:r>
      <w:r>
        <w:rPr>
          <w:rFonts w:hint="eastAsia" w:ascii="Times New Roman" w:hAnsi="Times New Roman" w:eastAsia="宋体"/>
          <w:b/>
          <w:bCs w:val="0"/>
          <w:color w:val="auto"/>
          <w:highlight w:val="none"/>
          <w:vertAlign w:val="superscript"/>
          <w:lang w:val="en-US" w:eastAsia="zh-CN"/>
        </w:rPr>
        <w:t>3</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a</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（4）采暖</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本项目冬季不生产，生活供暖由电暖器采暖。</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highlight w:val="none"/>
          <w:lang w:val="en-US" w:eastAsia="zh-CN"/>
        </w:rPr>
      </w:pPr>
      <w:bookmarkStart w:id="97" w:name="_Toc9037"/>
      <w:r>
        <w:rPr>
          <w:rFonts w:hint="eastAsia" w:ascii="Times New Roman" w:hAnsi="Times New Roman" w:eastAsia="宋体"/>
          <w:b/>
          <w:bCs w:val="0"/>
          <w:color w:val="auto"/>
          <w:highlight w:val="none"/>
          <w:lang w:val="en-US" w:eastAsia="zh-CN"/>
        </w:rPr>
        <w:t>3.2.9 物料平衡</w:t>
      </w:r>
      <w:bookmarkEnd w:id="97"/>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yellow"/>
          <w:lang w:val="en-US" w:eastAsia="zh-CN"/>
        </w:rPr>
      </w:pPr>
      <w:r>
        <w:rPr>
          <w:rFonts w:hint="eastAsia" w:ascii="Times New Roman" w:hAnsi="Times New Roman" w:eastAsia="宋体"/>
          <w:b w:val="0"/>
          <w:bCs/>
          <w:color w:val="auto"/>
          <w:highlight w:val="none"/>
          <w:lang w:val="en-US" w:eastAsia="zh-CN"/>
        </w:rPr>
        <w:t>服务年限内采出</w:t>
      </w:r>
      <w:r>
        <w:rPr>
          <w:rFonts w:hint="eastAsia" w:eastAsia="宋体"/>
          <w:b w:val="0"/>
          <w:bCs/>
          <w:color w:val="auto"/>
          <w:highlight w:val="none"/>
          <w:lang w:val="en-US" w:eastAsia="zh-CN"/>
        </w:rPr>
        <w:t>砂</w:t>
      </w:r>
      <w:r>
        <w:rPr>
          <w:rFonts w:hint="eastAsia" w:ascii="Times New Roman" w:hAnsi="Times New Roman" w:eastAsia="宋体"/>
          <w:b w:val="0"/>
          <w:bCs/>
          <w:color w:val="auto"/>
          <w:highlight w:val="none"/>
          <w:lang w:val="en-US" w:eastAsia="zh-CN"/>
        </w:rPr>
        <w:t>石量为</w:t>
      </w:r>
      <w:r>
        <w:rPr>
          <w:rFonts w:hint="eastAsia" w:eastAsia="宋体"/>
          <w:b w:val="0"/>
          <w:bCs/>
          <w:color w:val="auto"/>
          <w:highlight w:val="none"/>
          <w:lang w:val="en-US" w:eastAsia="zh-CN"/>
        </w:rPr>
        <w:t>6</w:t>
      </w:r>
      <w:r>
        <w:rPr>
          <w:rFonts w:hint="eastAsia" w:ascii="Times New Roman" w:hAnsi="Times New Roman" w:eastAsia="宋体"/>
          <w:b w:val="0"/>
          <w:bCs/>
          <w:color w:val="auto"/>
          <w:highlight w:val="none"/>
          <w:lang w:val="en-US" w:eastAsia="zh-CN"/>
        </w:rPr>
        <w:t>万</w:t>
      </w:r>
      <w:r>
        <w:rPr>
          <w:rFonts w:hint="eastAsia" w:eastAsia="宋体"/>
          <w:b w:val="0"/>
          <w:bCs/>
          <w:color w:val="auto"/>
          <w:highlight w:val="none"/>
          <w:lang w:val="en-US" w:eastAsia="zh-CN"/>
        </w:rPr>
        <w:t>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其中2万m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/a直接销售，4万m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/a进入洗砂工序。洗砂工序水洗砂产量为3.28万m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/a，0.4万m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/a石子，0.32万m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/a底泥。</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color w:val="FF0000"/>
          <w:highlight w:val="none"/>
          <w:lang w:val="en-US" w:eastAsia="zh-CN"/>
        </w:rPr>
      </w:pPr>
      <w:r>
        <w:rPr>
          <w:rFonts w:hint="eastAsia" w:eastAsia="宋体"/>
          <w:b w:val="0"/>
          <w:bCs/>
          <w:color w:val="FF0000"/>
          <w:highlight w:val="none"/>
          <w:lang w:val="en-US" w:eastAsia="zh-CN"/>
        </w:rPr>
        <w:t>本项目距朱日和镇较近，仅8km，加油比较方便，因此不在矿区内设柴油储罐。</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服务年限内土石方平衡见表 3.2-6</w:t>
      </w:r>
      <w:r>
        <w:rPr>
          <w:rFonts w:hint="eastAsia" w:eastAsia="宋体"/>
          <w:b w:val="0"/>
          <w:bCs/>
          <w:color w:val="auto"/>
          <w:highlight w:val="none"/>
          <w:lang w:val="en-US" w:eastAsia="zh-CN"/>
        </w:rPr>
        <w:t>和图3.2-2</w:t>
      </w:r>
      <w:r>
        <w:rPr>
          <w:rFonts w:hint="eastAsia" w:ascii="Times New Roman" w:hAnsi="Times New Roman" w:eastAsia="宋体"/>
          <w:b w:val="0"/>
          <w:bCs/>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val="0"/>
          <w:color w:val="auto"/>
          <w:sz w:val="21"/>
          <w:szCs w:val="21"/>
          <w:highlight w:val="none"/>
          <w:lang w:val="en-US" w:eastAsia="zh-CN"/>
        </w:rPr>
      </w:pPr>
      <w:r>
        <w:rPr>
          <w:rFonts w:hint="eastAsia" w:ascii="Times New Roman" w:hAnsi="Times New Roman" w:eastAsia="宋体"/>
          <w:b/>
          <w:bCs w:val="0"/>
          <w:color w:val="auto"/>
          <w:highlight w:val="none"/>
          <w:lang w:val="en-US" w:eastAsia="zh-CN"/>
        </w:rPr>
        <w:t xml:space="preserve">表 </w:t>
      </w:r>
      <w:r>
        <w:rPr>
          <w:rFonts w:hint="eastAsia" w:ascii="Times New Roman" w:hAnsi="Times New Roman" w:eastAsia="宋体"/>
          <w:b/>
          <w:bCs w:val="0"/>
          <w:color w:val="auto"/>
          <w:sz w:val="21"/>
          <w:szCs w:val="21"/>
          <w:highlight w:val="none"/>
          <w:lang w:val="en-US" w:eastAsia="zh-CN"/>
        </w:rPr>
        <w:t>3.2-6</w:t>
      </w:r>
      <w:r>
        <w:rPr>
          <w:rFonts w:hint="eastAsia" w:ascii="Times New Roman" w:hAnsi="Times New Roman" w:eastAsia="宋体"/>
          <w:b/>
          <w:bCs w:val="0"/>
          <w:color w:val="auto"/>
          <w:sz w:val="21"/>
          <w:szCs w:val="21"/>
          <w:highlight w:val="none"/>
          <w:lang w:val="en-US" w:eastAsia="zh-CN"/>
        </w:rPr>
        <w:tab/>
      </w:r>
      <w:r>
        <w:rPr>
          <w:rFonts w:hint="eastAsia" w:ascii="Times New Roman" w:hAnsi="Times New Roman" w:eastAsia="宋体"/>
          <w:b/>
          <w:bCs w:val="0"/>
          <w:color w:val="auto"/>
          <w:sz w:val="21"/>
          <w:szCs w:val="21"/>
          <w:highlight w:val="none"/>
          <w:lang w:val="en-US" w:eastAsia="zh-CN"/>
        </w:rPr>
        <w:t>土石方平衡表</w:t>
      </w:r>
    </w:p>
    <w:tbl>
      <w:tblPr>
        <w:tblStyle w:val="35"/>
        <w:tblW w:w="835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7"/>
        <w:gridCol w:w="1618"/>
        <w:gridCol w:w="1563"/>
        <w:gridCol w:w="1311"/>
        <w:gridCol w:w="1350"/>
        <w:gridCol w:w="96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trPr>
        <w:tc>
          <w:tcPr>
            <w:tcW w:w="1547" w:type="dxa"/>
            <w:vMerge w:val="restart"/>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开采总量</w:t>
            </w:r>
          </w:p>
        </w:tc>
        <w:tc>
          <w:tcPr>
            <w:tcW w:w="6805" w:type="dxa"/>
            <w:gridSpan w:val="5"/>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输出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exact"/>
        </w:trPr>
        <w:tc>
          <w:tcPr>
            <w:tcW w:w="1547" w:type="dxa"/>
            <w:vMerge w:val="continue"/>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val="0"/>
                <w:bCs/>
                <w:color w:val="auto"/>
                <w:sz w:val="21"/>
                <w:szCs w:val="21"/>
                <w:highlight w:val="none"/>
                <w:lang w:val="en-US" w:eastAsia="zh-CN"/>
              </w:rPr>
            </w:pPr>
          </w:p>
        </w:tc>
        <w:tc>
          <w:tcPr>
            <w:tcW w:w="161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原砂</w:t>
            </w:r>
          </w:p>
        </w:tc>
        <w:tc>
          <w:tcPr>
            <w:tcW w:w="15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水洗砂</w:t>
            </w:r>
          </w:p>
        </w:tc>
        <w:tc>
          <w:tcPr>
            <w:tcW w:w="1311"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底泥</w:t>
            </w:r>
          </w:p>
        </w:tc>
        <w:tc>
          <w:tcPr>
            <w:tcW w:w="135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石子</w:t>
            </w:r>
          </w:p>
        </w:tc>
        <w:tc>
          <w:tcPr>
            <w:tcW w:w="9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总计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exact"/>
        </w:trPr>
        <w:tc>
          <w:tcPr>
            <w:tcW w:w="1547"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6</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61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2</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5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3.28</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311"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0.32</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35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0.4万m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9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6</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r>
    </w:tbl>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bookmarkStart w:id="98" w:name="_Toc19512"/>
      <w:r>
        <w:rPr>
          <w:sz w:val="24"/>
        </w:rPr>
        <mc:AlternateContent>
          <mc:Choice Requires="wps">
            <w:drawing>
              <wp:anchor distT="0" distB="0" distL="114300" distR="114300" simplePos="0" relativeHeight="251683840" behindDoc="0" locked="0" layoutInCell="1" allowOverlap="1">
                <wp:simplePos x="0" y="0"/>
                <wp:positionH relativeFrom="column">
                  <wp:posOffset>2459355</wp:posOffset>
                </wp:positionH>
                <wp:positionV relativeFrom="paragraph">
                  <wp:posOffset>269875</wp:posOffset>
                </wp:positionV>
                <wp:extent cx="900430" cy="31559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default" w:ascii="Times New Roman" w:hAnsi="Times New Roman" w:eastAsia="宋体" w:cs="Times New Roman"/>
                                <w:lang w:val="en-US" w:eastAsia="zh-CN"/>
                              </w:rPr>
                              <w:t>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65pt;margin-top:21.25pt;height:24.85pt;width:70.9pt;z-index:251683840;mso-width-relative:page;mso-height-relative:page;" filled="f" stroked="f" coordsize="21600,21600" o:gfxdata="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hiGujbAAAACQEAAA8AAAAAAAAAAQAgAAAAIgAAAGRy&#10;cy9kb3ducmV2LnhtbFBLAQIUABQAAAAIAIdO4kC99wyNOwIAAGcEAAAOAAAAAAAAAAEAIAAAACoB&#10;AABkcnMvZTJvRG9jLnhtbFBLBQYAAAAABgAGAFkBAADXBQ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default" w:ascii="Times New Roman" w:hAnsi="Times New Roman" w:eastAsia="宋体" w:cs="Times New Roman"/>
                          <w:lang w:val="en-US" w:eastAsia="zh-CN"/>
                        </w:rPr>
                        <w:t>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2588895</wp:posOffset>
                </wp:positionH>
                <wp:positionV relativeFrom="paragraph">
                  <wp:posOffset>349250</wp:posOffset>
                </wp:positionV>
                <wp:extent cx="6985" cy="498475"/>
                <wp:effectExtent l="32385" t="0" r="36830" b="15875"/>
                <wp:wrapNone/>
                <wp:docPr id="24" name="直接箭头连接符 24"/>
                <wp:cNvGraphicFramePr/>
                <a:graphic xmlns:a="http://schemas.openxmlformats.org/drawingml/2006/main">
                  <a:graphicData uri="http://schemas.microsoft.com/office/word/2010/wordprocessingShape">
                    <wps:wsp>
                      <wps:cNvCnPr/>
                      <wps:spPr>
                        <a:xfrm>
                          <a:off x="3707765" y="141732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85pt;margin-top:27.5pt;height:39.25pt;width:0.55pt;z-index:251675648;mso-width-relative:page;mso-height-relative:page;" filled="f" stroked="t" coordsize="21600,21600" o:gfxdata="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mgAEtkA&#10;AAAKAQAADwAAAAAAAAABACAAAAAiAAAAZHJzL2Rvd25yZXYueG1sUEsBAhQAFAAAAAgAh07iQHAw&#10;RNseAgAABQQAAA4AAAAAAAAAAQAgAAAAKAEAAGRycy9lMm9Eb2MueG1sUEsFBgAAAAAGAAYAWQEA&#10;ALgFA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2075180</wp:posOffset>
                </wp:positionH>
                <wp:positionV relativeFrom="paragraph">
                  <wp:posOffset>26670</wp:posOffset>
                </wp:positionV>
                <wp:extent cx="1003935" cy="315595"/>
                <wp:effectExtent l="4445" t="4445" r="20320" b="22860"/>
                <wp:wrapNone/>
                <wp:docPr id="7" name="文本框 7"/>
                <wp:cNvGraphicFramePr/>
                <a:graphic xmlns:a="http://schemas.openxmlformats.org/drawingml/2006/main">
                  <a:graphicData uri="http://schemas.microsoft.com/office/word/2010/wordprocessingShape">
                    <wps:wsp>
                      <wps:cNvSpPr txBox="1"/>
                      <wps:spPr>
                        <a:xfrm>
                          <a:off x="3216275" y="94107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原料砂开采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4pt;margin-top:2.1pt;height:24.85pt;width:79.05pt;z-index:251674624;mso-width-relative:page;mso-height-relative:page;" fillcolor="#FFFFFF [3201]" filled="t" stroked="t" coordsize="21600,21600" o:gfxdata="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qQANTWAAAACAEAAA8AAAAAAAAAAQAgAAAAIgAAAGRycy9kb3ducmV2LnhtbFBLAQIUABQA&#10;AAAIAIdO4kAaD2hzZAIAAMIEAAAOAAAAAAAAAAEAIAAAACUBAABkcnMvZTJvRG9jLnhtbFBLBQYA&#10;AAAABgAGAFkBAAD7BQAAAAA=&#10;">
                <v:fill on="t" focussize="0,0"/>
                <v:stroke weight="0.5pt" color="#000000 [3204]" joinstyle="round"/>
                <v:imagedata o:title=""/>
                <o:lock v:ext="edit" aspectratio="f"/>
                <v:textbo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原料砂开采</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4864" behindDoc="0" locked="0" layoutInCell="1" allowOverlap="1">
                <wp:simplePos x="0" y="0"/>
                <wp:positionH relativeFrom="column">
                  <wp:posOffset>1343025</wp:posOffset>
                </wp:positionH>
                <wp:positionV relativeFrom="paragraph">
                  <wp:posOffset>132715</wp:posOffset>
                </wp:positionV>
                <wp:extent cx="900430" cy="31559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2</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75pt;margin-top:10.45pt;height:24.85pt;width:70.9pt;z-index:251684864;mso-width-relative:page;mso-height-relative:page;" filled="f" stroked="f" coordsize="21600,21600" o:gfxdata="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n0Jk2wAAAAkBAAAPAAAAAAAAAAEAIAAAACIAAABk&#10;cnMvZG93bnJldi54bWxQSwECFAAUAAAACACHTuJAEnA4bzwCAABnBAAADgAAAAAAAAABACAAAAAq&#10;AQAAZHJzL2Uyb0RvYy54bWxQSwUGAAAAAAYABgBZAQAA2A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2</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3059430</wp:posOffset>
                </wp:positionH>
                <wp:positionV relativeFrom="paragraph">
                  <wp:posOffset>147955</wp:posOffset>
                </wp:positionV>
                <wp:extent cx="900430" cy="31559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9pt;margin-top:11.65pt;height:24.85pt;width:70.9pt;z-index:251685888;mso-width-relative:page;mso-height-relative:page;" filled="f" stroked="f" coordsize="21600,21600" o:gfxdata="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hJYu2gAAAAkBAAAPAAAAAAAAAAEAIAAAACIAAABk&#10;cnMvZG93bnJldi54bWxQSwECFAAUAAAACACHTuJAVwbjmD0CAABnBAAADgAAAAAAAAABACAAAAAp&#10;AQAAZHJzL2Uyb0RvYy54bWxQSwUGAAAAAAYABgBZAQAA2A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1555115</wp:posOffset>
                </wp:positionH>
                <wp:positionV relativeFrom="paragraph">
                  <wp:posOffset>414020</wp:posOffset>
                </wp:positionV>
                <wp:extent cx="1958975" cy="4445"/>
                <wp:effectExtent l="0" t="0" r="0" b="0"/>
                <wp:wrapNone/>
                <wp:docPr id="26" name="直接箭头连接符 26"/>
                <wp:cNvGraphicFramePr/>
                <a:graphic xmlns:a="http://schemas.openxmlformats.org/drawingml/2006/main">
                  <a:graphicData uri="http://schemas.microsoft.com/office/word/2010/wordprocessingShape">
                    <wps:wsp>
                      <wps:cNvCnPr/>
                      <wps:spPr>
                        <a:xfrm flipV="1">
                          <a:off x="0" y="0"/>
                          <a:ext cx="1958975" cy="4445"/>
                        </a:xfrm>
                        <a:prstGeom prst="straightConnector1">
                          <a:avLst/>
                        </a:prstGeom>
                        <a:ln w="19050">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2.45pt;margin-top:32.6pt;height:0.35pt;width:154.25pt;z-index:251676672;mso-width-relative:page;mso-height-relative:page;" filled="f" stroked="t" coordsize="21600,21600" o:gfxdata="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e6YhjZAAAACQEAAA8AAAAA&#10;AAAAAQAgAAAAIgAAAGRycy9kb3ducmV2LnhtbFBLAQIUABQAAAAIAIdO4kCl6CktEwIAAAAEAAAO&#10;AAAAAAAAAAEAIAAAACgBAABkcnMvZTJvRG9jLnhtbFBLBQYAAAAABgAGAFkBAACtBQAAAAA=&#10;">
                <v:fill on="f" focussize="0,0"/>
                <v:stroke weight="1.5pt" color="#000000 [3213]" joinstyle="round"/>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6912" behindDoc="0" locked="0" layoutInCell="1" allowOverlap="1">
                <wp:simplePos x="0" y="0"/>
                <wp:positionH relativeFrom="column">
                  <wp:posOffset>3930015</wp:posOffset>
                </wp:positionH>
                <wp:positionV relativeFrom="paragraph">
                  <wp:posOffset>347980</wp:posOffset>
                </wp:positionV>
                <wp:extent cx="900430" cy="31559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0.4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45pt;margin-top:27.4pt;height:24.85pt;width:70.9pt;z-index:251686912;mso-width-relative:page;mso-height-relative:page;" filled="f" stroked="f" coordsize="21600,21600" o:gfxdata="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z2Y62wAAAAoBAAAPAAAAAAAAAAEAIAAAACIAAABk&#10;cnMvZG93bnJldi54bWxQSwECFAAUAAAACACHTuJA+IHXejwCAABnBAAADgAAAAAAAAABACAAAAAq&#10;AQAAZHJzL2Uyb0RvYy54bWxQSwUGAAAAAAYABgBZAQAA2A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0.4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3517900</wp:posOffset>
                </wp:positionH>
                <wp:positionV relativeFrom="paragraph">
                  <wp:posOffset>10795</wp:posOffset>
                </wp:positionV>
                <wp:extent cx="6985" cy="498475"/>
                <wp:effectExtent l="32385" t="0" r="36830" b="15875"/>
                <wp:wrapNone/>
                <wp:docPr id="36" name="直接箭头连接符 36"/>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pt;margin-top:0.85pt;height:39.25pt;width:0.55pt;z-index:251678720;mso-width-relative:page;mso-height-relative:page;" filled="f" stroked="t" coordsize="21600,21600" o:gfxdata="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AcqRjXAAAACAEAAA8AAAAAAAAA&#10;AQAgAAAAIgAAAGRycy9kb3ducmV2LnhtbFBLAQIUABQAAAAIAIdO4kBgusVjEgIAAPkDAAAOAAAA&#10;AAAAAAEAIAAAACYBAABkcnMvZTJvRG9jLnhtbFBLBQYAAAAABgAGAFkBAACqBQ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1554480</wp:posOffset>
                </wp:positionH>
                <wp:positionV relativeFrom="paragraph">
                  <wp:posOffset>3810</wp:posOffset>
                </wp:positionV>
                <wp:extent cx="6985" cy="498475"/>
                <wp:effectExtent l="32385" t="0" r="36830" b="15875"/>
                <wp:wrapNone/>
                <wp:docPr id="27" name="直接箭头连接符 27"/>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2.4pt;margin-top:0.3pt;height:39.25pt;width:0.55pt;z-index:251677696;mso-width-relative:page;mso-height-relative:page;" filled="f" stroked="t" coordsize="21600,21600" o:gfxdata="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7Ch/XAAAABwEAAA8AAAAAAAAA&#10;AQAgAAAAIgAAAGRycy9kb3ducmV2LnhtbFBLAQIUABQAAAAIAIdO4kBjYYxtEgIAAPkDAAAOAAAA&#10;AAAAAAEAIAAAACYBAABkcnMvZTJvRG9jLnhtbFBLBQYAAAAABgAGAFkBAACqBQAAAAA=&#10;">
                <v:fill on="f" focussize="0,0"/>
                <v:stroke weight="1.5pt" color="#000000 [3213]" joinstyle="round" endarrow="block"/>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7936" behindDoc="0" locked="0" layoutInCell="1" allowOverlap="1">
                <wp:simplePos x="0" y="0"/>
                <wp:positionH relativeFrom="column">
                  <wp:posOffset>3524250</wp:posOffset>
                </wp:positionH>
                <wp:positionV relativeFrom="paragraph">
                  <wp:posOffset>408940</wp:posOffset>
                </wp:positionV>
                <wp:extent cx="6985" cy="498475"/>
                <wp:effectExtent l="32385" t="0" r="36830" b="15875"/>
                <wp:wrapNone/>
                <wp:docPr id="48" name="直接箭头连接符 48"/>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5pt;margin-top:32.2pt;height:39.25pt;width:0.55pt;z-index:251687936;mso-width-relative:page;mso-height-relative:page;" filled="f" stroked="t" coordsize="21600,21600" o:gfxdata="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7bZDfaAAAACgEAAA8AAAAA&#10;AAAAAQAgAAAAIgAAAGRycy9kb3ducmV2LnhtbFBLAQIUABQAAAAIAIdO4kCNJYOTEgIAAPkDAAAO&#10;AAAAAAAAAAEAIAAAACkBAABkcnMvZTJvRG9jLnhtbFBLBQYAAAAABgAGAFkBAACtBQ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4409440</wp:posOffset>
                </wp:positionH>
                <wp:positionV relativeFrom="paragraph">
                  <wp:posOffset>70485</wp:posOffset>
                </wp:positionV>
                <wp:extent cx="725170" cy="31559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72517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石子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2pt;margin-top:5.55pt;height:24.85pt;width:57.1pt;z-index:251682816;mso-width-relative:page;mso-height-relative:page;" filled="f" stroked="f" coordsize="21600,21600" o:gfxdata="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8xHG2QAAAAkBAAAPAAAAAAAAAAEAIAAAACIAAABkcnMv&#10;ZG93bnJldi54bWxQSwECFAAUAAAACACHTuJAytVhNDsCAABnBAAADgAAAAAAAAABACAAAAAoAQAA&#10;ZHJzL2Uyb0RvYy54bWxQSwUGAAAAAAYABgBZAQAA1Q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石子</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3999865</wp:posOffset>
                </wp:positionH>
                <wp:positionV relativeFrom="paragraph">
                  <wp:posOffset>243205</wp:posOffset>
                </wp:positionV>
                <wp:extent cx="574040" cy="4445"/>
                <wp:effectExtent l="0" t="37465" r="16510" b="34290"/>
                <wp:wrapNone/>
                <wp:docPr id="39" name="直接箭头连接符 39"/>
                <wp:cNvGraphicFramePr/>
                <a:graphic xmlns:a="http://schemas.openxmlformats.org/drawingml/2006/main">
                  <a:graphicData uri="http://schemas.microsoft.com/office/word/2010/wordprocessingShape">
                    <wps:wsp>
                      <wps:cNvCnPr/>
                      <wps:spPr>
                        <a:xfrm flipV="1">
                          <a:off x="0" y="0"/>
                          <a:ext cx="574040" cy="444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4.95pt;margin-top:19.15pt;height:0.35pt;width:45.2pt;z-index:251681792;mso-width-relative:page;mso-height-relative:page;" filled="f" stroked="t" coordsize="21600,21600" o:gfxdata="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hYkY9YAAAAJAQAADwAA&#10;AAAAAAABACAAAAAiAAAAZHJzL2Rvd25yZXYueG1sUEsBAhQAFAAAAAgAh07iQNQ6J7oYAgAAAwQA&#10;AA4AAAAAAAAAAQAgAAAAJQEAAGRycy9lMm9Eb2MueG1sUEsFBgAAAAAGAAYAWQEAAK8FA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2989580</wp:posOffset>
                </wp:positionH>
                <wp:positionV relativeFrom="paragraph">
                  <wp:posOffset>94615</wp:posOffset>
                </wp:positionV>
                <wp:extent cx="1003935" cy="315595"/>
                <wp:effectExtent l="4445" t="4445" r="20320" b="22860"/>
                <wp:wrapNone/>
                <wp:docPr id="38" name="文本框 38"/>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4pt;margin-top:7.45pt;height:24.85pt;width:79.05pt;z-index:251680768;mso-width-relative:page;mso-height-relative:page;" fillcolor="#FFFFFF [3201]" filled="t" stroked="t" coordsize="21600,21600" o:gfxdata="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REJE1QAA&#10;AAkBAAAPAAAAAAAAAAEAIAAAACIAAABkcnMvZG93bnJldi54bWxQSwECFAAUAAAACACHTuJARsct&#10;rloCAAC5BAAADgAAAAAAAAABACAAAAAkAQAAZHJzL2Uyb0RvYy54bWxQSwUGAAAAAAYABgBZAQAA&#10;8AU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筛分</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1047750</wp:posOffset>
                </wp:positionH>
                <wp:positionV relativeFrom="paragraph">
                  <wp:posOffset>65405</wp:posOffset>
                </wp:positionV>
                <wp:extent cx="1003935" cy="315595"/>
                <wp:effectExtent l="4445" t="4445" r="20320" b="22860"/>
                <wp:wrapNone/>
                <wp:docPr id="37" name="文本框 37"/>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原料砂出售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5.15pt;height:24.85pt;width:79.05pt;z-index:251679744;mso-width-relative:page;mso-height-relative:page;" fillcolor="#FFFFFF [3201]" filled="t" stroked="t" coordsize="21600,21600" o:gfxdata="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BHSNrUAAAA&#10;CQEAAA8AAAAAAAAAAQAgAAAAIgAAAGRycy9kb3ducmV2LnhtbFBLAQIUABQAAAAIAIdO4kAHIJoc&#10;WgIAALkEAAAOAAAAAAAAAAEAIAAAACMBAABkcnMvZTJvRG9jLnhtbFBLBQYAAAAABgAGAFkBAADv&#10;BQAAAAA=&#10;">
                <v:fill on="t" focussize="0,0"/>
                <v:stroke weight="0.5pt" color="#000000 [3204]" joinstyle="round"/>
                <v:imagedata o:title=""/>
                <o:lock v:ext="edit" aspectratio="f"/>
                <v:textbo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原料砂出售</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1008" behindDoc="0" locked="0" layoutInCell="1" allowOverlap="1">
                <wp:simplePos x="0" y="0"/>
                <wp:positionH relativeFrom="column">
                  <wp:posOffset>3459480</wp:posOffset>
                </wp:positionH>
                <wp:positionV relativeFrom="paragraph">
                  <wp:posOffset>83185</wp:posOffset>
                </wp:positionV>
                <wp:extent cx="900430" cy="31559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pt;margin-top:6.55pt;height:24.85pt;width:70.9pt;z-index:251691008;mso-width-relative:page;mso-height-relative:page;" filled="f" stroked="f" coordsize="21600,21600" o:gfxdata="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sCeS9oAAAAJAQAADwAAAAAAAAABACAAAAAiAAAAZHJz&#10;L2Rvd25yZXYueG1sUEsBAhQAFAAAAAgAh07iQCiMWgY7AgAAZwQAAA4AAAAAAAAAAQAgAAAAKQEA&#10;AGRycy9lMm9Eb2MueG1sUEsFBgAAAAAGAAYAWQEAANYFA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9984" behindDoc="0" locked="0" layoutInCell="1" allowOverlap="1">
                <wp:simplePos x="0" y="0"/>
                <wp:positionH relativeFrom="column">
                  <wp:posOffset>3529965</wp:posOffset>
                </wp:positionH>
                <wp:positionV relativeFrom="paragraph">
                  <wp:posOffset>393065</wp:posOffset>
                </wp:positionV>
                <wp:extent cx="6985" cy="498475"/>
                <wp:effectExtent l="32385" t="0" r="36830" b="15875"/>
                <wp:wrapNone/>
                <wp:docPr id="50" name="直接箭头连接符 50"/>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95pt;margin-top:30.95pt;height:39.25pt;width:0.55pt;z-index:251689984;mso-width-relative:page;mso-height-relative:page;" filled="f" stroked="t" coordsize="21600,21600" o:gfxdata="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iMfvPZAAAACgEAAA8AAAAAAAAA&#10;AQAgAAAAIgAAAGRycy9kb3ducmV2LnhtbFBLAQIUABQAAAAIAIdO4kBqYHFGEAIAAPkDAAAOAAAA&#10;AAAAAAEAIAAAACgBAABkcnMvZTJvRG9jLnhtbFBLBQYAAAAABgAGAFkBAACqBQ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3032125</wp:posOffset>
                </wp:positionH>
                <wp:positionV relativeFrom="paragraph">
                  <wp:posOffset>71120</wp:posOffset>
                </wp:positionV>
                <wp:extent cx="1003935" cy="315595"/>
                <wp:effectExtent l="4445" t="4445" r="20320" b="22860"/>
                <wp:wrapNone/>
                <wp:docPr id="49" name="文本框 49"/>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水洗砂工序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75pt;margin-top:5.6pt;height:24.85pt;width:79.05pt;z-index:251688960;mso-width-relative:page;mso-height-relative:page;" fillcolor="#FFFFFF [3201]" filled="t" stroked="t" coordsize="21600,21600" o:gfxdata="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9P2HtYA&#10;AAAJAQAADwAAAAAAAAABACAAAAAiAAAAZHJzL2Rvd25yZXYueG1sUEsBAhQAFAAAAAgAh07iQCq8&#10;E/taAgAAuQQAAA4AAAAAAAAAAQAgAAAAJQEAAGRycy9lMm9Eb2MueG1sUEsFBgAAAAAGAAYAWQEA&#10;APEFA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水洗砂工序</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2032" behindDoc="0" locked="0" layoutInCell="1" allowOverlap="1">
                <wp:simplePos x="0" y="0"/>
                <wp:positionH relativeFrom="column">
                  <wp:posOffset>3472815</wp:posOffset>
                </wp:positionH>
                <wp:positionV relativeFrom="paragraph">
                  <wp:posOffset>31115</wp:posOffset>
                </wp:positionV>
                <wp:extent cx="900430" cy="3155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45pt;margin-top:2.45pt;height:24.85pt;width:70.9pt;z-index:251692032;mso-width-relative:page;mso-height-relative:page;" filled="f" stroked="f" coordsize="21600,21600" o:gfxdata="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2WV9kAAAAIAQAADwAAAAAAAAABACAAAAAiAAAAZHJz&#10;L2Rvd25yZXYueG1sUEsBAhQAFAAAAAgAh07iQIcLbuQ8AgAAZwQAAA4AAAAAAAAAAQAgAAAAKAEA&#10;AGRycy9lMm9Eb2MueG1sUEsFBgAAAAAGAAYAWQEAANYFA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5104" behindDoc="0" locked="0" layoutInCell="1" allowOverlap="1">
                <wp:simplePos x="0" y="0"/>
                <wp:positionH relativeFrom="column">
                  <wp:posOffset>4234815</wp:posOffset>
                </wp:positionH>
                <wp:positionV relativeFrom="paragraph">
                  <wp:posOffset>71120</wp:posOffset>
                </wp:positionV>
                <wp:extent cx="6985" cy="498475"/>
                <wp:effectExtent l="32385" t="0" r="36830" b="15875"/>
                <wp:wrapNone/>
                <wp:docPr id="55" name="直接箭头连接符 55"/>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45pt;margin-top:5.6pt;height:39.25pt;width:0.55pt;z-index:251695104;mso-width-relative:page;mso-height-relative:page;" filled="f" stroked="t" coordsize="21600,21600" o:gfxdata="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KqM2AAAAAkBAAAPAAAAAAAA&#10;AAEAIAAAACIAAABkcnMvZG93bnJldi54bWxQSwECFAAUAAAACACHTuJApYH4ehICAAD5AwAADgAA&#10;AAAAAAABACAAAAAnAQAAZHJzL2Uyb0RvYy54bWxQSwUGAAAAAAYABgBZAQAAqwU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2886075</wp:posOffset>
                </wp:positionH>
                <wp:positionV relativeFrom="paragraph">
                  <wp:posOffset>57150</wp:posOffset>
                </wp:positionV>
                <wp:extent cx="6985" cy="498475"/>
                <wp:effectExtent l="32385" t="0" r="36830" b="15875"/>
                <wp:wrapNone/>
                <wp:docPr id="54" name="直接箭头连接符 54"/>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7.25pt;margin-top:4.5pt;height:39.25pt;width:0.55pt;z-index:251694080;mso-width-relative:page;mso-height-relative:page;" filled="f" stroked="t" coordsize="21600,21600" o:gfxdata="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qpQi2AAAAAgBAAAPAAAAAAAA&#10;AAEAIAAAACIAAABkcnMvZG93bnJldi54bWxQSwECFAAUAAAACACHTuJAc7VgGxICAAD5AwAADgAA&#10;AAAAAAABACAAAAAnAQAAZHJzL2Uyb0RvYy54bWxQSwUGAAAAAAYABgBZAQAAqwU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2872105</wp:posOffset>
                </wp:positionH>
                <wp:positionV relativeFrom="paragraph">
                  <wp:posOffset>64770</wp:posOffset>
                </wp:positionV>
                <wp:extent cx="1371600" cy="9525"/>
                <wp:effectExtent l="0" t="0" r="0" b="0"/>
                <wp:wrapNone/>
                <wp:docPr id="53" name="直接箭头连接符 53"/>
                <wp:cNvGraphicFramePr/>
                <a:graphic xmlns:a="http://schemas.openxmlformats.org/drawingml/2006/main">
                  <a:graphicData uri="http://schemas.microsoft.com/office/word/2010/wordprocessingShape">
                    <wps:wsp>
                      <wps:cNvCnPr/>
                      <wps:spPr>
                        <a:xfrm>
                          <a:off x="0" y="0"/>
                          <a:ext cx="1371600" cy="9525"/>
                        </a:xfrm>
                        <a:prstGeom prst="straightConnector1">
                          <a:avLst/>
                        </a:prstGeom>
                        <a:ln w="19050">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15pt;margin-top:5.1pt;height:0.75pt;width:108pt;z-index:251693056;mso-width-relative:page;mso-height-relative:page;" filled="f" stroked="t" coordsize="21600,21600" o:gfxdata="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scAtQAAAAJAQAADwAAAAAAAAABACAAAAAiAAAA&#10;ZHJzL2Rvd25yZXYueG1sUEsBAhQAFAAAAAgAh07iQDIAII4LAgAA9gMAAA4AAAAAAAAAAQAgAAAA&#10;IwEAAGRycy9lMm9Eb2MueG1sUEsFBgAAAAAGAAYAWQEAAKAFAAAAAA==&#10;">
                <v:fill on="f" focussize="0,0"/>
                <v:stroke weight="1.5pt" color="#000000 [3213]" joinstyle="round"/>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7152" behindDoc="0" locked="0" layoutInCell="1" allowOverlap="1">
                <wp:simplePos x="0" y="0"/>
                <wp:positionH relativeFrom="column">
                  <wp:posOffset>3799840</wp:posOffset>
                </wp:positionH>
                <wp:positionV relativeFrom="paragraph">
                  <wp:posOffset>160655</wp:posOffset>
                </wp:positionV>
                <wp:extent cx="1003935" cy="315595"/>
                <wp:effectExtent l="4445" t="4445" r="20320" b="22860"/>
                <wp:wrapNone/>
                <wp:docPr id="64" name="文本框 64"/>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2pt;margin-top:12.65pt;height:24.85pt;width:79.05pt;z-index:251697152;mso-width-relative:page;mso-height-relative:page;" fillcolor="#FFFFFF [3201]" filled="t" stroked="t" coordsize="21600,21600" o:gfxdata="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L64ztcA&#10;AAAJAQAADwAAAAAAAAABACAAAAAiAAAAZHJzL2Rvd25yZXYueG1sUEsBAhQAFAAAAAgAh07iQE2p&#10;mTlZAgAAuQQAAA4AAAAAAAAAAQAgAAAAJgEAAGRycy9lMm9Eb2MueG1sUEsFBgAAAAAGAAYAWQEA&#10;APEFA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水洗砂成品</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2364105</wp:posOffset>
                </wp:positionH>
                <wp:positionV relativeFrom="paragraph">
                  <wp:posOffset>153670</wp:posOffset>
                </wp:positionV>
                <wp:extent cx="1003935" cy="315595"/>
                <wp:effectExtent l="4445" t="4445" r="20320" b="22860"/>
                <wp:wrapNone/>
                <wp:docPr id="56" name="文本框 56"/>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底泥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15pt;margin-top:12.1pt;height:24.85pt;width:79.05pt;z-index:251696128;mso-width-relative:page;mso-height-relative:page;" fillcolor="#FFFFFF [3201]" filled="t" stroked="t" coordsize="21600,21600" o:gfxdata="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mKmatYA&#10;AAAJAQAADwAAAAAAAAABACAAAAAiAAAAZHJzL2Rvd25yZXYueG1sUEsBAhQAFAAAAAgAh07iQJ4a&#10;vABaAgAAuQQAAA4AAAAAAAAAAQAgAAAAJQEAAGRycy9lMm9Eb2MueG1sUEsFBgAAAAAGAAYAWQEA&#10;APEFA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底泥</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701248" behindDoc="0" locked="0" layoutInCell="1" allowOverlap="1">
                <wp:simplePos x="0" y="0"/>
                <wp:positionH relativeFrom="column">
                  <wp:posOffset>2297430</wp:posOffset>
                </wp:positionH>
                <wp:positionV relativeFrom="paragraph">
                  <wp:posOffset>302895</wp:posOffset>
                </wp:positionV>
                <wp:extent cx="1157605" cy="31559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157605"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回填至采空区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9pt;margin-top:23.85pt;height:24.85pt;width:91.15pt;z-index:251701248;mso-width-relative:page;mso-height-relative:page;" filled="f" stroked="f" coordsize="21600,21600" o:gfxdata="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5lnwtsAAAAJAQAADwAAAAAAAAABACAAAAAiAAAA&#10;ZHJzL2Rvd25yZXYueG1sUEsBAhQAFAAAAAgAh07iQLDonOk9AgAAaAQAAA4AAAAAAAAAAQAgAAAA&#10;KgEAAGRycy9lMm9Eb2MueG1sUEsFBgAAAAAGAAYAWQEAANkFA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回填至采空区</w:t>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3887470</wp:posOffset>
                </wp:positionH>
                <wp:positionV relativeFrom="paragraph">
                  <wp:posOffset>317500</wp:posOffset>
                </wp:positionV>
                <wp:extent cx="725170" cy="31559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72517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出售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1pt;margin-top:25pt;height:24.85pt;width:57.1pt;z-index:251700224;mso-width-relative:page;mso-height-relative:page;" filled="f" stroked="f" coordsize="21600,21600" o:gfxdata="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5QjyraAAAACQEAAA8AAAAAAAAAAQAgAAAAIgAAAGRy&#10;cy9kb3ducmV2LnhtbFBLAQIUABQAAAAIAIdO4kDBpx14PAIAAGcEAAAOAAAAAAAAAAEAIAAAACkB&#10;AABkcnMvZTJvRG9jLnhtbFBLBQYAAAAABgAGAFkBAADXBQ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出售</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4265295</wp:posOffset>
                </wp:positionH>
                <wp:positionV relativeFrom="paragraph">
                  <wp:posOffset>60960</wp:posOffset>
                </wp:positionV>
                <wp:extent cx="2540" cy="319405"/>
                <wp:effectExtent l="37465" t="0" r="36195" b="4445"/>
                <wp:wrapNone/>
                <wp:docPr id="71" name="直接箭头连接符 71"/>
                <wp:cNvGraphicFramePr/>
                <a:graphic xmlns:a="http://schemas.openxmlformats.org/drawingml/2006/main">
                  <a:graphicData uri="http://schemas.microsoft.com/office/word/2010/wordprocessingShape">
                    <wps:wsp>
                      <wps:cNvCnPr/>
                      <wps:spPr>
                        <a:xfrm flipH="1">
                          <a:off x="0" y="0"/>
                          <a:ext cx="2540" cy="31940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5.85pt;margin-top:4.8pt;height:25.15pt;width:0.2pt;z-index:251699200;mso-width-relative:page;mso-height-relative:page;" filled="f" stroked="t" coordsize="21600,21600" o:gfxdata="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BucL9YAAAAIAQAADwAA&#10;AAAAAAABACAAAAAiAAAAZHJzL2Rvd25yZXYueG1sUEsBAhQAFAAAAAgAh07iQLmrnvAYAgAAAwQA&#10;AA4AAAAAAAAAAQAgAAAAJQEAAGRycy9lMm9Eb2MueG1sUEsFBgAAAAAGAAYAWQEAAK8FA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2867025</wp:posOffset>
                </wp:positionH>
                <wp:positionV relativeFrom="paragraph">
                  <wp:posOffset>55245</wp:posOffset>
                </wp:positionV>
                <wp:extent cx="2540" cy="319405"/>
                <wp:effectExtent l="37465" t="0" r="36195" b="4445"/>
                <wp:wrapNone/>
                <wp:docPr id="65" name="直接箭头连接符 65"/>
                <wp:cNvGraphicFramePr/>
                <a:graphic xmlns:a="http://schemas.openxmlformats.org/drawingml/2006/main">
                  <a:graphicData uri="http://schemas.microsoft.com/office/word/2010/wordprocessingShape">
                    <wps:wsp>
                      <wps:cNvCnPr/>
                      <wps:spPr>
                        <a:xfrm flipH="1">
                          <a:off x="0" y="0"/>
                          <a:ext cx="2540" cy="31940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5.75pt;margin-top:4.35pt;height:25.15pt;width:0.2pt;z-index:251698176;mso-width-relative:page;mso-height-relative:page;" filled="f" stroked="t" coordsize="21600,21600" o:gfxdata="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NsJHfWAAAACAEAAA8A&#10;AAAAAAAAAQAgAAAAIgAAAGRycy9kb3ducmV2LnhtbFBLAQIUABQAAAAIAIdO4kCW/FhsGQIAAAME&#10;AAAOAAAAAAAAAAEAIAAAACUBAABkcnMvZTJvRG9jLnhtbFBLBQYAAAAABgAGAFkBAACwBQAAAAA=&#10;">
                <v:fill on="f" focussize="0,0"/>
                <v:stroke weight="1.5pt" color="#000000 [3213]" joinstyle="round" endarrow="block"/>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eastAsia="宋体" w:cs="Times New Roman"/>
          <w:b w:val="0"/>
          <w:bCs/>
          <w:color w:val="FF0000"/>
          <w:kern w:val="2"/>
          <w:sz w:val="24"/>
          <w:szCs w:val="22"/>
          <w:highlight w:val="none"/>
          <w:lang w:val="en-US" w:eastAsia="zh-CN" w:bidi="ar-SA"/>
        </w:rPr>
      </w:pP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cs="Times New Roman"/>
          <w:b/>
          <w:bCs w:val="0"/>
          <w:color w:val="FF0000"/>
          <w:kern w:val="2"/>
          <w:sz w:val="24"/>
          <w:szCs w:val="22"/>
          <w:highlight w:val="none"/>
          <w:lang w:val="en-US" w:eastAsia="zh-CN" w:bidi="ar-SA"/>
        </w:rPr>
      </w:pPr>
      <w:r>
        <w:rPr>
          <w:rFonts w:hint="eastAsia" w:eastAsia="宋体" w:cs="Times New Roman"/>
          <w:b/>
          <w:bCs w:val="0"/>
          <w:color w:val="FF0000"/>
          <w:kern w:val="2"/>
          <w:sz w:val="24"/>
          <w:szCs w:val="22"/>
          <w:highlight w:val="none"/>
          <w:lang w:val="en-US" w:eastAsia="zh-CN" w:bidi="ar-SA"/>
        </w:rPr>
        <w:t>图3.2-2 物料平衡图</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-11049635</wp:posOffset>
                </wp:positionH>
                <wp:positionV relativeFrom="paragraph">
                  <wp:posOffset>144780</wp:posOffset>
                </wp:positionV>
                <wp:extent cx="772795" cy="2133600"/>
                <wp:effectExtent l="1123950" t="0" r="27305" b="95250"/>
                <wp:wrapNone/>
                <wp:docPr id="1566" name="肘形连接符 1566"/>
                <wp:cNvGraphicFramePr/>
                <a:graphic xmlns:a="http://schemas.openxmlformats.org/drawingml/2006/main">
                  <a:graphicData uri="http://schemas.microsoft.com/office/word/2010/wordprocessingShape">
                    <wps:wsp>
                      <wps:cNvCnPr/>
                      <wps:spPr>
                        <a:xfrm flipH="1">
                          <a:off x="0" y="0"/>
                          <a:ext cx="773086" cy="2133600"/>
                        </a:xfrm>
                        <a:prstGeom prst="bentConnector3">
                          <a:avLst>
                            <a:gd name="adj1" fmla="val 24534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870.05pt;margin-top:11.4pt;height:168pt;width:60.85pt;z-index:251660288;mso-width-relative:page;mso-height-relative:page;" filled="f" stroked="t" coordsize="21600,21600" o:gfxdata="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jOaO2wAAAA4BAAAPAAAAAAAAAAEAIAAAACIAAABkcnMvZG93bnJl&#10;di54bWxQSwECFAAUAAAACACHTuJA2p1S4TMCAAA/BAAADgAAAAAAAAABACAAAAAqAQAAZHJzL2Uy&#10;b0RvYy54bWxQSwUGAAAAAAYABgBZAQAAzwUAAAAA&#10;" adj="52994">
                <v:fill on="f" focussize="0,0"/>
                <v:stroke color="#000000 [3213]" joinstyle="round" endarrow="block"/>
                <v:imagedata o:title=""/>
                <o:lock v:ext="edit" aspectratio="f"/>
              </v:shape>
            </w:pict>
          </mc:Fallback>
        </mc:AlternateContent>
      </w:r>
      <w:r>
        <w:rPr>
          <w:rFonts w:hint="eastAsia" w:ascii="Times New Roman" w:hAnsi="Times New Roman" w:eastAsia="宋体"/>
          <w:b/>
          <w:bCs w:val="0"/>
          <w:color w:val="auto"/>
          <w:highlight w:val="none"/>
          <w:lang w:val="en-US" w:eastAsia="zh-CN"/>
        </w:rPr>
        <w:t>3.3 项目技术改造前后变化情况</w:t>
      </w:r>
      <w:bookmarkEnd w:id="9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本次</w:t>
      </w:r>
      <w:r>
        <w:rPr>
          <w:rFonts w:hint="eastAsia" w:eastAsia="宋体"/>
          <w:b w:val="0"/>
          <w:bCs/>
          <w:color w:val="auto"/>
          <w:highlight w:val="none"/>
          <w:lang w:val="en-US" w:eastAsia="zh-CN"/>
        </w:rPr>
        <w:t>扩建</w:t>
      </w:r>
      <w:r>
        <w:rPr>
          <w:rFonts w:hint="eastAsia" w:ascii="Times New Roman" w:hAnsi="Times New Roman" w:eastAsia="宋体"/>
          <w:b w:val="0"/>
          <w:bCs/>
          <w:color w:val="auto"/>
          <w:highlight w:val="none"/>
          <w:lang w:val="en-US" w:eastAsia="zh-CN"/>
        </w:rPr>
        <w:t>工程</w:t>
      </w:r>
      <w:r>
        <w:rPr>
          <w:rFonts w:hint="eastAsia" w:eastAsia="宋体"/>
          <w:b w:val="0"/>
          <w:bCs/>
          <w:color w:val="auto"/>
          <w:highlight w:val="none"/>
          <w:lang w:val="en-US" w:eastAsia="zh-CN"/>
        </w:rPr>
        <w:t>产</w:t>
      </w:r>
      <w:r>
        <w:rPr>
          <w:rFonts w:hint="eastAsia" w:eastAsia="宋体"/>
          <w:b w:val="0"/>
          <w:bCs/>
          <w:color w:val="auto"/>
          <w:sz w:val="24"/>
          <w:szCs w:val="24"/>
          <w:highlight w:val="none"/>
          <w:lang w:val="en-US" w:eastAsia="zh-CN"/>
        </w:rPr>
        <w:t>能增加4</w:t>
      </w:r>
      <w:r>
        <w:rPr>
          <w:rFonts w:hint="eastAsia" w:ascii="Times New Roman" w:hAnsi="Times New Roman" w:eastAsia="宋体"/>
          <w:color w:val="auto"/>
          <w:sz w:val="24"/>
          <w:szCs w:val="24"/>
          <w:highlight w:val="none"/>
        </w:rPr>
        <w:t>×</w:t>
      </w:r>
      <w:r>
        <w:rPr>
          <w:rFonts w:hint="eastAsia" w:eastAsia="宋体"/>
          <w:color w:val="auto"/>
          <w:sz w:val="24"/>
          <w:szCs w:val="24"/>
          <w:highlight w:val="none"/>
          <w:lang w:val="en-US" w:eastAsia="zh-CN"/>
        </w:rPr>
        <w:t>10</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/a，新增洗砂工程，矿区面积缩减。扩建完成后，矿区面积降为0.1034km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，采场开采能力为</w:t>
      </w:r>
      <w:r>
        <w:rPr>
          <w:rFonts w:hint="eastAsia" w:eastAsia="宋体"/>
          <w:b w:val="0"/>
          <w:bCs/>
          <w:color w:val="auto"/>
          <w:sz w:val="24"/>
          <w:szCs w:val="24"/>
          <w:highlight w:val="none"/>
          <w:lang w:val="en-US" w:eastAsia="zh-CN"/>
        </w:rPr>
        <w:t>6</w:t>
      </w:r>
      <w:r>
        <w:rPr>
          <w:rFonts w:hint="eastAsia" w:ascii="Times New Roman" w:hAnsi="Times New Roman" w:eastAsia="宋体"/>
          <w:color w:val="auto"/>
          <w:sz w:val="24"/>
          <w:szCs w:val="24"/>
          <w:highlight w:val="none"/>
        </w:rPr>
        <w:t>×</w:t>
      </w:r>
      <w:r>
        <w:rPr>
          <w:rFonts w:hint="eastAsia" w:eastAsia="宋体"/>
          <w:color w:val="auto"/>
          <w:sz w:val="24"/>
          <w:szCs w:val="24"/>
          <w:highlight w:val="none"/>
          <w:lang w:val="en-US" w:eastAsia="zh-CN"/>
        </w:rPr>
        <w:t>10</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/a，洗砂能力为</w:t>
      </w:r>
      <w:r>
        <w:rPr>
          <w:rFonts w:hint="eastAsia" w:eastAsia="宋体"/>
          <w:b w:val="0"/>
          <w:bCs/>
          <w:color w:val="auto"/>
          <w:sz w:val="24"/>
          <w:szCs w:val="24"/>
          <w:highlight w:val="none"/>
          <w:lang w:val="en-US" w:eastAsia="zh-CN"/>
        </w:rPr>
        <w:t>4</w:t>
      </w:r>
      <w:r>
        <w:rPr>
          <w:rFonts w:hint="eastAsia" w:ascii="Times New Roman" w:hAnsi="Times New Roman" w:eastAsia="宋体"/>
          <w:color w:val="auto"/>
          <w:sz w:val="24"/>
          <w:szCs w:val="24"/>
          <w:highlight w:val="none"/>
        </w:rPr>
        <w:t>×</w:t>
      </w:r>
      <w:r>
        <w:rPr>
          <w:rFonts w:hint="eastAsia" w:eastAsia="宋体"/>
          <w:color w:val="auto"/>
          <w:sz w:val="24"/>
          <w:szCs w:val="24"/>
          <w:highlight w:val="none"/>
          <w:lang w:val="en-US" w:eastAsia="zh-CN"/>
        </w:rPr>
        <w:t>10</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/a</w:t>
      </w:r>
      <w:r>
        <w:rPr>
          <w:rFonts w:hint="eastAsia" w:eastAsia="宋体"/>
          <w:b w:val="0"/>
          <w:bCs/>
          <w:color w:val="auto"/>
          <w:sz w:val="24"/>
          <w:szCs w:val="24"/>
          <w:highlight w:val="none"/>
          <w:lang w:val="en-US" w:eastAsia="zh-CN"/>
        </w:rPr>
        <w:t>，服务年限降为6.2年。现有采坑1、排土场、料堆1、表土场进行生态恢复治</w:t>
      </w:r>
      <w:r>
        <w:rPr>
          <w:rFonts w:hint="eastAsia" w:eastAsia="宋体"/>
          <w:b w:val="0"/>
          <w:bCs/>
          <w:color w:val="auto"/>
          <w:highlight w:val="none"/>
          <w:lang w:val="en-US" w:eastAsia="zh-CN"/>
        </w:rPr>
        <w:t>理，于工业场地西侧新设置表土堆场。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项目</w:t>
      </w:r>
      <w:r>
        <w:rPr>
          <w:rFonts w:hint="eastAsia" w:eastAsia="宋体"/>
          <w:b w:val="0"/>
          <w:bCs/>
          <w:color w:val="auto"/>
          <w:highlight w:val="none"/>
          <w:lang w:val="en-US" w:eastAsia="zh-CN"/>
        </w:rPr>
        <w:t>扩建</w:t>
      </w:r>
      <w:r>
        <w:rPr>
          <w:rFonts w:hint="eastAsia" w:ascii="Times New Roman" w:hAnsi="Times New Roman" w:eastAsia="宋体"/>
          <w:b w:val="0"/>
          <w:bCs/>
          <w:color w:val="auto"/>
          <w:highlight w:val="none"/>
          <w:lang w:val="en-US" w:eastAsia="zh-CN"/>
        </w:rPr>
        <w:t>前后工程变化情况见表3.3-1。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b w:val="0"/>
          <w:bCs/>
          <w:color w:val="auto"/>
          <w:highlight w:val="yellow"/>
          <w:lang w:val="en-US" w:eastAsia="zh-CN"/>
        </w:rPr>
        <w:sectPr>
          <w:pgSz w:w="11850" w:h="16783"/>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ind w:left="0" w:leftChars="0" w:firstLine="0" w:firstLineChars="0"/>
        <w:jc w:val="center"/>
        <w:rPr>
          <w:rFonts w:hint="eastAsia" w:ascii="Times New Roman" w:hAnsi="Times New Roman" w:eastAsia="宋体"/>
          <w:b w:val="0"/>
          <w:bCs/>
          <w:color w:val="auto"/>
          <w:highlight w:val="none"/>
          <w:lang w:val="en-US" w:eastAsia="zh-CN"/>
        </w:rPr>
      </w:pPr>
      <w:r>
        <w:rPr>
          <w:rFonts w:hint="eastAsia" w:ascii="Times New Roman" w:hAnsi="Times New Roman" w:eastAsia="宋体"/>
          <w:b/>
          <w:bCs w:val="0"/>
          <w:color w:val="auto"/>
          <w:highlight w:val="none"/>
          <w:lang w:val="en-US" w:eastAsia="zh-CN"/>
        </w:rPr>
        <w:t xml:space="preserve">表3.3-1 </w:t>
      </w:r>
      <w:r>
        <w:rPr>
          <w:rFonts w:hint="eastAsia" w:eastAsia="宋体"/>
          <w:b/>
          <w:bCs w:val="0"/>
          <w:color w:val="auto"/>
          <w:highlight w:val="none"/>
          <w:lang w:val="en-US" w:eastAsia="zh-CN"/>
        </w:rPr>
        <w:t>扩建</w:t>
      </w:r>
      <w:r>
        <w:rPr>
          <w:rFonts w:hint="eastAsia" w:ascii="Times New Roman" w:hAnsi="Times New Roman" w:eastAsia="宋体"/>
          <w:b/>
          <w:bCs w:val="0"/>
          <w:color w:val="auto"/>
          <w:highlight w:val="none"/>
          <w:lang w:val="en-US" w:eastAsia="zh-CN"/>
        </w:rPr>
        <w:t>前后工程变化情况一览表</w:t>
      </w:r>
    </w:p>
    <w:tbl>
      <w:tblPr>
        <w:tblStyle w:val="35"/>
        <w:tblW w:w="13710"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1270"/>
        <w:gridCol w:w="3173"/>
        <w:gridCol w:w="3450"/>
        <w:gridCol w:w="3232"/>
        <w:gridCol w:w="167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2185" w:type="dxa"/>
            <w:gridSpan w:val="2"/>
            <w:tcBorders>
              <w:tl2br w:val="nil"/>
              <w:tr2bl w:val="nil"/>
            </w:tcBorders>
            <w:vAlign w:val="center"/>
          </w:tcPr>
          <w:p>
            <w:pPr>
              <w:pStyle w:val="118"/>
              <w:spacing w:line="24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项目</w:t>
            </w:r>
          </w:p>
        </w:tc>
        <w:tc>
          <w:tcPr>
            <w:tcW w:w="3173" w:type="dxa"/>
            <w:tcBorders>
              <w:tl2br w:val="nil"/>
              <w:tr2bl w:val="nil"/>
            </w:tcBorders>
            <w:vAlign w:val="center"/>
          </w:tcPr>
          <w:p>
            <w:pPr>
              <w:pStyle w:val="118"/>
              <w:spacing w:line="24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扩建前</w:t>
            </w:r>
          </w:p>
        </w:tc>
        <w:tc>
          <w:tcPr>
            <w:tcW w:w="3450" w:type="dxa"/>
            <w:tcBorders>
              <w:tl2br w:val="nil"/>
              <w:tr2bl w:val="nil"/>
            </w:tcBorders>
            <w:vAlign w:val="center"/>
          </w:tcPr>
          <w:p>
            <w:pPr>
              <w:pStyle w:val="118"/>
              <w:spacing w:line="240" w:lineRule="exact"/>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扩建项目</w:t>
            </w:r>
          </w:p>
        </w:tc>
        <w:tc>
          <w:tcPr>
            <w:tcW w:w="3232" w:type="dxa"/>
            <w:tcBorders>
              <w:tl2br w:val="nil"/>
              <w:tr2bl w:val="nil"/>
            </w:tcBorders>
            <w:vAlign w:val="center"/>
          </w:tcPr>
          <w:p>
            <w:pPr>
              <w:pStyle w:val="118"/>
              <w:spacing w:line="24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扩建</w:t>
            </w:r>
            <w:r>
              <w:rPr>
                <w:rFonts w:hint="eastAsia" w:eastAsia="宋体" w:cs="宋体"/>
                <w:sz w:val="21"/>
                <w:szCs w:val="21"/>
                <w:highlight w:val="none"/>
                <w:lang w:val="en-US" w:eastAsia="zh-CN"/>
              </w:rPr>
              <w:t>完成</w:t>
            </w:r>
            <w:r>
              <w:rPr>
                <w:rFonts w:hint="default" w:ascii="Times New Roman" w:hAnsi="Times New Roman" w:eastAsia="宋体" w:cs="宋体"/>
                <w:sz w:val="21"/>
                <w:szCs w:val="21"/>
                <w:highlight w:val="none"/>
              </w:rPr>
              <w:t>后</w:t>
            </w:r>
          </w:p>
        </w:tc>
        <w:tc>
          <w:tcPr>
            <w:tcW w:w="1670" w:type="dxa"/>
            <w:tcBorders>
              <w:tl2br w:val="nil"/>
              <w:tr2bl w:val="nil"/>
            </w:tcBorders>
            <w:vAlign w:val="center"/>
          </w:tcPr>
          <w:p>
            <w:pPr>
              <w:pStyle w:val="118"/>
              <w:spacing w:line="240" w:lineRule="exact"/>
              <w:ind w:left="0" w:leftChars="0" w:right="2" w:firstLine="0" w:firstLineChars="0"/>
              <w:jc w:val="center"/>
              <w:rPr>
                <w:rFonts w:hint="eastAsia"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yellow"/>
              </w:rPr>
            </w:pPr>
            <w:r>
              <w:rPr>
                <w:rFonts w:hint="default" w:ascii="Times New Roman" w:hAnsi="Times New Roman" w:eastAsia="宋体" w:cs="宋体"/>
                <w:sz w:val="21"/>
                <w:szCs w:val="21"/>
                <w:highlight w:val="none"/>
              </w:rPr>
              <w:t>采矿规模</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rPr>
            </w:pPr>
            <w:r>
              <w:rPr>
                <w:rFonts w:hint="eastAsia" w:ascii="Times New Roman" w:hAnsi="Times New Roman" w:eastAsia="宋体"/>
                <w:b w:val="0"/>
                <w:bCs w:val="0"/>
                <w:color w:val="auto"/>
                <w:sz w:val="21"/>
                <w:szCs w:val="21"/>
                <w:highlight w:val="none"/>
                <w:lang w:val="en-US" w:eastAsia="zh-CN"/>
              </w:rPr>
              <w:t>生产规模为2</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cs="宋体"/>
                <w:sz w:val="21"/>
                <w:szCs w:val="21"/>
                <w:highlight w:val="yellow"/>
                <w:lang w:eastAsia="zh-CN"/>
              </w:rPr>
            </w:pPr>
            <w:r>
              <w:rPr>
                <w:rFonts w:hint="eastAsia" w:ascii="Times New Roman" w:hAnsi="Times New Roman" w:eastAsia="宋体"/>
                <w:b w:val="0"/>
                <w:bCs w:val="0"/>
                <w:color w:val="auto"/>
                <w:sz w:val="21"/>
                <w:szCs w:val="21"/>
                <w:highlight w:val="none"/>
                <w:lang w:val="en-US" w:eastAsia="zh-CN"/>
              </w:rPr>
              <w:t>生产规模</w:t>
            </w:r>
            <w:r>
              <w:rPr>
                <w:rFonts w:hint="eastAsia" w:eastAsia="宋体"/>
                <w:b w:val="0"/>
                <w:bCs w:val="0"/>
                <w:color w:val="auto"/>
                <w:sz w:val="21"/>
                <w:szCs w:val="21"/>
                <w:highlight w:val="none"/>
                <w:lang w:val="en-US" w:eastAsia="zh-CN"/>
              </w:rPr>
              <w:t>增加4</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rPr>
            </w:pPr>
            <w:r>
              <w:rPr>
                <w:rFonts w:hint="eastAsia" w:ascii="Times New Roman" w:hAnsi="Times New Roman" w:eastAsia="宋体"/>
                <w:b w:val="0"/>
                <w:bCs w:val="0"/>
                <w:color w:val="auto"/>
                <w:sz w:val="21"/>
                <w:szCs w:val="21"/>
                <w:highlight w:val="none"/>
                <w:lang w:val="en-US" w:eastAsia="zh-CN"/>
              </w:rPr>
              <w:t>生产规模</w:t>
            </w:r>
            <w:r>
              <w:rPr>
                <w:rFonts w:hint="eastAsia" w:eastAsia="宋体"/>
                <w:b w:val="0"/>
                <w:bCs w:val="0"/>
                <w:color w:val="auto"/>
                <w:sz w:val="21"/>
                <w:szCs w:val="21"/>
                <w:highlight w:val="none"/>
                <w:lang w:val="en-US" w:eastAsia="zh-CN"/>
              </w:rPr>
              <w:t>为6</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lang w:eastAsia="zh-CN"/>
              </w:rPr>
            </w:pPr>
            <w:r>
              <w:rPr>
                <w:rFonts w:hint="eastAsia" w:eastAsia="宋体"/>
                <w:b w:val="0"/>
                <w:bCs w:val="0"/>
                <w:color w:val="auto"/>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color w:val="FF0000"/>
                <w:sz w:val="21"/>
                <w:szCs w:val="21"/>
                <w:highlight w:val="none"/>
                <w:lang w:val="en-US" w:eastAsia="zh-CN"/>
              </w:rPr>
            </w:pPr>
            <w:r>
              <w:rPr>
                <w:rFonts w:hint="eastAsia" w:eastAsia="宋体" w:cs="宋体"/>
                <w:color w:val="FF0000"/>
                <w:sz w:val="21"/>
                <w:szCs w:val="21"/>
                <w:highlight w:val="none"/>
                <w:lang w:val="en-US" w:eastAsia="zh-CN"/>
              </w:rPr>
              <w:t>矿区范围</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default"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开采深度：1146~1136</w:t>
            </w:r>
            <w:r>
              <w:rPr>
                <w:rFonts w:hint="default" w:ascii="Times New Roman" w:hAnsi="Times New Roman" w:eastAsia="宋体" w:cs="Times New Roman"/>
                <w:color w:val="FF0000"/>
                <w:sz w:val="21"/>
                <w:szCs w:val="21"/>
                <w:highlight w:val="none"/>
                <w:lang w:val="en-US" w:eastAsia="zh-CN"/>
              </w:rPr>
              <w:t>m</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lang w:val="en-US" w:eastAsia="zh-CN"/>
              </w:rPr>
              <w:t>开采面积：0.1190km</w:t>
            </w:r>
            <w:r>
              <w:rPr>
                <w:rFonts w:hint="eastAsia" w:eastAsia="宋体"/>
                <w:b w:val="0"/>
                <w:bCs w:val="0"/>
                <w:color w:val="FF0000"/>
                <w:sz w:val="21"/>
                <w:szCs w:val="21"/>
                <w:highlight w:val="none"/>
                <w:vertAlign w:val="superscript"/>
                <w:lang w:val="en-US" w:eastAsia="zh-CN"/>
              </w:rPr>
              <w:t>2</w:t>
            </w:r>
          </w:p>
          <w:p>
            <w:pPr>
              <w:pStyle w:val="118"/>
              <w:spacing w:before="4" w:line="240" w:lineRule="auto"/>
              <w:ind w:left="0" w:leftChars="0" w:right="0" w:firstLine="0" w:firstLineChars="0"/>
              <w:jc w:val="center"/>
              <w:rPr>
                <w:rFonts w:hint="default" w:eastAsia="宋体"/>
                <w:b w:val="0"/>
                <w:bCs w:val="0"/>
                <w:color w:val="FF0000"/>
                <w:sz w:val="21"/>
                <w:szCs w:val="21"/>
                <w:highlight w:val="none"/>
                <w:vertAlign w:val="superscript"/>
                <w:lang w:val="en-US" w:eastAsia="zh-CN"/>
              </w:rPr>
            </w:pPr>
            <w:r>
              <w:rPr>
                <w:rFonts w:hint="eastAsia" w:ascii="Times New Roman" w:eastAsia="宋体"/>
                <w:color w:val="FF0000"/>
                <w:sz w:val="21"/>
                <w:szCs w:val="21"/>
                <w:lang w:val="en-US" w:eastAsia="zh-CN"/>
              </w:rPr>
              <w:t>已露天开采范围43090</w:t>
            </w:r>
            <w:r>
              <w:rPr>
                <w:rFonts w:hint="default" w:ascii="Times New Roman" w:eastAsia="宋体"/>
                <w:bCs w:val="0"/>
                <w:color w:val="FF0000"/>
                <w:sz w:val="21"/>
                <w:szCs w:val="21"/>
                <w:highlight w:val="none"/>
                <w:u w:val="none" w:color="000000"/>
                <w:lang w:val="en-US" w:eastAsia="zh-CN"/>
              </w:rPr>
              <w:t>m</w:t>
            </w:r>
            <w:r>
              <w:rPr>
                <w:rFonts w:hint="default" w:ascii="Times New Roman" w:eastAsia="宋体"/>
                <w:bCs w:val="0"/>
                <w:color w:val="FF0000"/>
                <w:sz w:val="21"/>
                <w:szCs w:val="21"/>
                <w:highlight w:val="none"/>
                <w:u w:val="none" w:color="000000"/>
                <w:vertAlign w:val="superscript"/>
                <w:lang w:val="en-US" w:eastAsia="zh-CN"/>
              </w:rPr>
              <w:t>2</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eastAsia"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开采深度：1152~1136</w:t>
            </w:r>
            <w:r>
              <w:rPr>
                <w:rFonts w:hint="default" w:ascii="Times New Roman" w:hAnsi="Times New Roman" w:eastAsia="宋体" w:cs="Times New Roman"/>
                <w:color w:val="FF0000"/>
                <w:sz w:val="21"/>
                <w:szCs w:val="21"/>
                <w:highlight w:val="none"/>
                <w:lang w:val="en-US" w:eastAsia="zh-CN"/>
              </w:rPr>
              <w:t>m</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lang w:val="en-US" w:eastAsia="zh-CN"/>
              </w:rPr>
              <w:t>开采面积：0.1034km</w:t>
            </w:r>
            <w:r>
              <w:rPr>
                <w:rFonts w:hint="eastAsia" w:eastAsia="宋体"/>
                <w:b w:val="0"/>
                <w:bCs w:val="0"/>
                <w:color w:val="FF0000"/>
                <w:sz w:val="21"/>
                <w:szCs w:val="21"/>
                <w:highlight w:val="none"/>
                <w:vertAlign w:val="superscript"/>
                <w:lang w:val="en-US" w:eastAsia="zh-CN"/>
              </w:rPr>
              <w:t>2</w:t>
            </w:r>
          </w:p>
          <w:p>
            <w:pPr>
              <w:pStyle w:val="118"/>
              <w:spacing w:before="4" w:line="240" w:lineRule="auto"/>
              <w:ind w:left="0" w:leftChars="0" w:right="0" w:firstLine="0" w:firstLineChars="0"/>
              <w:jc w:val="center"/>
              <w:rPr>
                <w:rFonts w:hint="default"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vertAlign w:val="baseline"/>
                <w:lang w:val="en-US" w:eastAsia="zh-CN"/>
              </w:rPr>
              <w:t>本项目</w:t>
            </w:r>
            <w:r>
              <w:rPr>
                <w:rFonts w:hint="default" w:eastAsia="宋体"/>
                <w:b w:val="0"/>
                <w:bCs w:val="0"/>
                <w:color w:val="FF0000"/>
                <w:sz w:val="21"/>
                <w:szCs w:val="21"/>
                <w:highlight w:val="none"/>
                <w:vertAlign w:val="baseline"/>
                <w:lang w:val="en-US" w:eastAsia="zh-CN"/>
              </w:rPr>
              <w:t>露天开采范围</w:t>
            </w:r>
            <w:r>
              <w:rPr>
                <w:rFonts w:hint="eastAsia" w:eastAsia="宋体"/>
                <w:b w:val="0"/>
                <w:bCs w:val="0"/>
                <w:color w:val="FF0000"/>
                <w:sz w:val="21"/>
                <w:szCs w:val="21"/>
                <w:highlight w:val="none"/>
                <w:vertAlign w:val="baseline"/>
                <w:lang w:val="en-US" w:eastAsia="zh-CN"/>
              </w:rPr>
              <w:t>7500</w:t>
            </w:r>
            <w:r>
              <w:rPr>
                <w:rFonts w:hint="default" w:eastAsia="宋体"/>
                <w:b w:val="0"/>
                <w:bCs w:val="0"/>
                <w:color w:val="FF0000"/>
                <w:sz w:val="21"/>
                <w:szCs w:val="21"/>
                <w:highlight w:val="none"/>
                <w:vertAlign w:val="baseline"/>
                <w:lang w:val="en-US" w:eastAsia="zh-CN"/>
              </w:rPr>
              <w:t>m</w:t>
            </w:r>
            <w:r>
              <w:rPr>
                <w:rFonts w:hint="default" w:eastAsia="宋体"/>
                <w:b w:val="0"/>
                <w:bCs w:val="0"/>
                <w:color w:val="FF0000"/>
                <w:sz w:val="21"/>
                <w:szCs w:val="21"/>
                <w:highlight w:val="none"/>
                <w:vertAlign w:val="superscript"/>
                <w:lang w:val="en-US" w:eastAsia="zh-CN"/>
              </w:rPr>
              <w:t>2</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eastAsia"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开采深度：1152~1136</w:t>
            </w:r>
            <w:r>
              <w:rPr>
                <w:rFonts w:hint="default" w:ascii="Times New Roman" w:hAnsi="Times New Roman" w:eastAsia="宋体" w:cs="Times New Roman"/>
                <w:color w:val="FF0000"/>
                <w:sz w:val="21"/>
                <w:szCs w:val="21"/>
                <w:highlight w:val="none"/>
                <w:lang w:val="en-US" w:eastAsia="zh-CN"/>
              </w:rPr>
              <w:t>m</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lang w:val="en-US" w:eastAsia="zh-CN"/>
              </w:rPr>
              <w:t>开采面积：0.1034km</w:t>
            </w:r>
            <w:r>
              <w:rPr>
                <w:rFonts w:hint="eastAsia" w:eastAsia="宋体"/>
                <w:b w:val="0"/>
                <w:bCs w:val="0"/>
                <w:color w:val="FF0000"/>
                <w:sz w:val="21"/>
                <w:szCs w:val="21"/>
                <w:highlight w:val="none"/>
                <w:vertAlign w:val="superscript"/>
                <w:lang w:val="en-US" w:eastAsia="zh-CN"/>
              </w:rPr>
              <w:t>2</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default" w:eastAsia="宋体"/>
                <w:b w:val="0"/>
                <w:bCs w:val="0"/>
                <w:color w:val="FF0000"/>
                <w:sz w:val="21"/>
                <w:szCs w:val="21"/>
                <w:highlight w:val="none"/>
                <w:vertAlign w:val="baseline"/>
                <w:lang w:val="en-US" w:eastAsia="zh-CN"/>
              </w:rPr>
              <w:t>露天开采范围</w:t>
            </w:r>
            <w:r>
              <w:rPr>
                <w:rFonts w:hint="eastAsia" w:eastAsia="宋体"/>
                <w:b w:val="0"/>
                <w:bCs w:val="0"/>
                <w:color w:val="FF0000"/>
                <w:sz w:val="21"/>
                <w:szCs w:val="21"/>
                <w:highlight w:val="none"/>
                <w:vertAlign w:val="baseline"/>
                <w:lang w:val="en-US" w:eastAsia="zh-CN"/>
              </w:rPr>
              <w:t>7500</w:t>
            </w:r>
            <w:r>
              <w:rPr>
                <w:rFonts w:hint="default" w:eastAsia="宋体"/>
                <w:b w:val="0"/>
                <w:bCs w:val="0"/>
                <w:color w:val="FF0000"/>
                <w:sz w:val="21"/>
                <w:szCs w:val="21"/>
                <w:highlight w:val="none"/>
                <w:vertAlign w:val="baseline"/>
                <w:lang w:val="en-US" w:eastAsia="zh-CN"/>
              </w:rPr>
              <w:t>m</w:t>
            </w:r>
            <w:r>
              <w:rPr>
                <w:rFonts w:hint="default" w:eastAsia="宋体"/>
                <w:b w:val="0"/>
                <w:bCs w:val="0"/>
                <w:color w:val="FF0000"/>
                <w:sz w:val="21"/>
                <w:szCs w:val="21"/>
                <w:highlight w:val="none"/>
                <w:vertAlign w:val="superscript"/>
                <w:lang w:val="en-US" w:eastAsia="zh-CN"/>
              </w:rPr>
              <w:t>2</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开采、开拓、运输方式</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开采方式以露天方式进行开采，矿山开拓方式为采用直进式公路开拓，汽车运输</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开采方式以露天方式进行开采，矿山开拓方式为采用直进式公路开拓，汽车运输</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开采方式以露天方式进行开采，矿山开拓方式为采用直进式公路开拓，汽车运输</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lang w:val="en-US" w:eastAsia="zh-CN"/>
              </w:rPr>
            </w:pPr>
            <w:r>
              <w:rPr>
                <w:rFonts w:hint="eastAsia" w:eastAsia="宋体" w:cs="Times New Roman"/>
                <w:sz w:val="21"/>
                <w:szCs w:val="21"/>
                <w:highlight w:val="none"/>
                <w:lang w:val="en-US" w:eastAsia="zh-CN"/>
              </w:rPr>
              <w:t>不变</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洗砂工程</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洗砂规模为4</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none"/>
              </w:rPr>
            </w:pPr>
            <w:r>
              <w:rPr>
                <w:rFonts w:hint="eastAsia" w:eastAsia="宋体" w:cs="Times New Roman"/>
                <w:sz w:val="21"/>
                <w:szCs w:val="21"/>
                <w:highlight w:val="none"/>
                <w:lang w:val="en-US" w:eastAsia="zh-CN"/>
              </w:rPr>
              <w:t>洗砂规模为4</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eastAsia="宋体" w:cs="宋体"/>
                <w:sz w:val="21"/>
                <w:szCs w:val="21"/>
                <w:highlight w:val="none"/>
                <w:lang w:val="en-US" w:eastAsia="zh-CN"/>
              </w:rPr>
            </w:pPr>
            <w:r>
              <w:rPr>
                <w:rFonts w:hint="eastAsia" w:eastAsia="宋体" w:cs="宋体"/>
                <w:sz w:val="21"/>
                <w:szCs w:val="21"/>
                <w:highlight w:val="none"/>
                <w:lang w:val="en-US" w:eastAsia="zh-CN"/>
              </w:rPr>
              <w:t>服务年限</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eastAsia" w:eastAsia="宋体" w:cs="Times New Roman"/>
                <w:sz w:val="21"/>
                <w:szCs w:val="21"/>
                <w:highlight w:val="none"/>
                <w:lang w:val="en-US" w:eastAsia="zh-CN"/>
              </w:rPr>
            </w:pPr>
            <w:r>
              <w:rPr>
                <w:rFonts w:hint="eastAsia" w:eastAsia="宋体" w:cs="Times New Roman"/>
                <w:sz w:val="21"/>
                <w:szCs w:val="21"/>
                <w:highlight w:val="none"/>
                <w:lang w:val="en-US" w:eastAsia="zh-CN"/>
              </w:rPr>
              <w:t>矿山设计资源量可供矿山开采21a，已开采6年，现有矿山剩余开采年限为15年</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default" w:eastAsia="宋体" w:cs="Times New Roman"/>
                <w:color w:val="FF0000"/>
                <w:sz w:val="21"/>
                <w:szCs w:val="21"/>
                <w:highlight w:val="none"/>
                <w:lang w:val="en-US" w:eastAsia="zh-CN"/>
              </w:rPr>
            </w:pPr>
            <w:r>
              <w:rPr>
                <w:rFonts w:hint="default" w:eastAsia="宋体" w:cs="Times New Roman"/>
                <w:color w:val="FF0000"/>
                <w:sz w:val="21"/>
                <w:szCs w:val="21"/>
                <w:highlight w:val="none"/>
                <w:lang w:val="en-US" w:eastAsia="zh-CN"/>
              </w:rPr>
              <w:t>变更完采矿权范围后，矿山服务年限降为6.2年</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eastAsia"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变更完采矿权范围后，矿山服务年限降为6.2年</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eastAsia" w:eastAsia="宋体" w:cs="宋体"/>
                <w:sz w:val="21"/>
                <w:szCs w:val="21"/>
                <w:highlight w:val="none"/>
                <w:lang w:val="en-US" w:eastAsia="zh-CN"/>
              </w:rPr>
            </w:pPr>
            <w:r>
              <w:rPr>
                <w:rFonts w:hint="eastAsia" w:eastAsia="宋体" w:cs="Times New Roman"/>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4" w:hRule="exact"/>
        </w:trPr>
        <w:tc>
          <w:tcPr>
            <w:tcW w:w="915" w:type="dxa"/>
            <w:vMerge w:val="restart"/>
            <w:tcBorders>
              <w:tl2br w:val="nil"/>
              <w:tr2bl w:val="nil"/>
            </w:tcBorders>
            <w:vAlign w:val="center"/>
          </w:tcPr>
          <w:p>
            <w:pPr>
              <w:ind w:left="0" w:leftChars="0" w:firstLine="0" w:firstLineChars="0"/>
              <w:jc w:val="center"/>
              <w:rPr>
                <w:rFonts w:hint="default" w:ascii="Times New Roman" w:hAnsi="Times New Roman" w:eastAsia="宋体"/>
                <w:highlight w:val="none"/>
                <w:lang w:val="en-US" w:eastAsia="zh-CN"/>
              </w:rPr>
            </w:pPr>
            <w:r>
              <w:rPr>
                <w:rFonts w:hint="eastAsia" w:ascii="Times New Roman" w:hAnsi="Times New Roman" w:eastAsia="宋体"/>
                <w:sz w:val="21"/>
                <w:szCs w:val="21"/>
                <w:highlight w:val="none"/>
                <w:lang w:val="en-US" w:eastAsia="zh-CN"/>
              </w:rPr>
              <w:t>辅助生产系统</w:t>
            </w: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lang w:val="en-US" w:eastAsia="zh-CN"/>
              </w:rPr>
              <w:t>办公生活区</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在矿区西南角建有办公生活区，总占地面积</w:t>
            </w:r>
            <w:r>
              <w:rPr>
                <w:rFonts w:hint="eastAsia" w:eastAsia="宋体" w:cs="Times New Roman"/>
                <w:sz w:val="21"/>
                <w:szCs w:val="21"/>
                <w:highlight w:val="none"/>
                <w:lang w:val="en-US" w:eastAsia="zh-CN"/>
              </w:rPr>
              <w:t>200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，包括办公室、食堂、职工宿舍、库房等</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olor w:val="FF0000"/>
                <w:sz w:val="21"/>
                <w:szCs w:val="21"/>
                <w:highlight w:val="none"/>
                <w:lang w:val="en-US" w:eastAsia="zh-CN"/>
              </w:rPr>
              <w:t>在</w:t>
            </w:r>
            <w:r>
              <w:rPr>
                <w:rFonts w:hint="eastAsia" w:eastAsia="宋体"/>
                <w:color w:val="FF0000"/>
                <w:sz w:val="21"/>
                <w:szCs w:val="21"/>
                <w:highlight w:val="none"/>
                <w:lang w:val="en-US" w:eastAsia="zh-CN"/>
              </w:rPr>
              <w:t>矿区西南角</w:t>
            </w:r>
            <w:r>
              <w:rPr>
                <w:rFonts w:hint="eastAsia" w:ascii="Times New Roman" w:hAnsi="Times New Roman" w:eastAsia="宋体"/>
                <w:color w:val="FF0000"/>
                <w:sz w:val="21"/>
                <w:szCs w:val="21"/>
                <w:highlight w:val="none"/>
                <w:lang w:val="en-US" w:eastAsia="zh-CN"/>
              </w:rPr>
              <w:t>建有办公生活区，总占地面积</w:t>
            </w:r>
            <w:r>
              <w:rPr>
                <w:rFonts w:hint="eastAsia" w:eastAsia="宋体"/>
                <w:color w:val="FF0000"/>
                <w:sz w:val="21"/>
                <w:szCs w:val="21"/>
                <w:highlight w:val="none"/>
                <w:lang w:val="en-US" w:eastAsia="zh-CN"/>
              </w:rPr>
              <w:t>200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r>
              <w:rPr>
                <w:rFonts w:hint="eastAsia" w:ascii="Times New Roman" w:hAnsi="Times New Roman" w:eastAsia="宋体"/>
                <w:color w:val="FF0000"/>
                <w:sz w:val="21"/>
                <w:szCs w:val="21"/>
                <w:highlight w:val="none"/>
                <w:lang w:val="en-US" w:eastAsia="zh-CN"/>
              </w:rPr>
              <w:t>，包括办公室、食堂、职工宿舍、库房等</w:t>
            </w:r>
            <w:r>
              <w:rPr>
                <w:rFonts w:hint="eastAsia" w:eastAsia="宋体"/>
                <w:color w:val="FF0000"/>
                <w:sz w:val="21"/>
                <w:szCs w:val="21"/>
                <w:highlight w:val="none"/>
                <w:lang w:val="en-US" w:eastAsia="zh-CN"/>
              </w:rPr>
              <w:t>；办公生活区后期移动至厂区中部南侧，占地面积200m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，功能设备不变</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olor w:val="FF0000"/>
                <w:sz w:val="21"/>
                <w:szCs w:val="21"/>
                <w:highlight w:val="none"/>
                <w:lang w:val="en-US" w:eastAsia="zh-CN"/>
              </w:rPr>
              <w:t>在</w:t>
            </w:r>
            <w:r>
              <w:rPr>
                <w:rFonts w:hint="eastAsia" w:eastAsia="宋体"/>
                <w:color w:val="FF0000"/>
                <w:sz w:val="21"/>
                <w:szCs w:val="21"/>
                <w:highlight w:val="none"/>
                <w:lang w:val="en-US" w:eastAsia="zh-CN"/>
              </w:rPr>
              <w:t>矿区西南角</w:t>
            </w:r>
            <w:r>
              <w:rPr>
                <w:rFonts w:hint="eastAsia" w:ascii="Times New Roman" w:hAnsi="Times New Roman" w:eastAsia="宋体"/>
                <w:color w:val="FF0000"/>
                <w:sz w:val="21"/>
                <w:szCs w:val="21"/>
                <w:highlight w:val="none"/>
                <w:lang w:val="en-US" w:eastAsia="zh-CN"/>
              </w:rPr>
              <w:t>建有办公生活区，总占地面积</w:t>
            </w:r>
            <w:r>
              <w:rPr>
                <w:rFonts w:hint="eastAsia" w:eastAsia="宋体"/>
                <w:color w:val="FF0000"/>
                <w:sz w:val="21"/>
                <w:szCs w:val="21"/>
                <w:highlight w:val="none"/>
                <w:lang w:val="en-US" w:eastAsia="zh-CN"/>
              </w:rPr>
              <w:t>200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r>
              <w:rPr>
                <w:rFonts w:hint="eastAsia" w:ascii="Times New Roman" w:hAnsi="Times New Roman" w:eastAsia="宋体"/>
                <w:color w:val="FF0000"/>
                <w:sz w:val="21"/>
                <w:szCs w:val="21"/>
                <w:highlight w:val="none"/>
                <w:lang w:val="en-US" w:eastAsia="zh-CN"/>
              </w:rPr>
              <w:t>，包括办公室、食堂、职工宿舍、库房等</w:t>
            </w:r>
            <w:r>
              <w:rPr>
                <w:rFonts w:hint="eastAsia" w:eastAsia="宋体"/>
                <w:color w:val="FF0000"/>
                <w:sz w:val="21"/>
                <w:szCs w:val="21"/>
                <w:highlight w:val="none"/>
                <w:lang w:val="en-US" w:eastAsia="zh-CN"/>
              </w:rPr>
              <w:t>；办公生活区后期移动至厂区中部南侧，占地面积200m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，功能设备不变</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7"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eastAsia"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沉淀池</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rPr>
            </w:pPr>
            <w:r>
              <w:rPr>
                <w:rFonts w:hint="eastAsia" w:eastAsia="宋体" w:cs="Times New Roman"/>
                <w:sz w:val="21"/>
                <w:szCs w:val="21"/>
                <w:highlight w:val="none"/>
                <w:lang w:val="en-US" w:eastAsia="zh-CN"/>
              </w:rPr>
              <w:t>/</w:t>
            </w:r>
          </w:p>
        </w:tc>
        <w:tc>
          <w:tcPr>
            <w:tcW w:w="3450" w:type="dxa"/>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新建</w:t>
            </w:r>
            <w:r>
              <w:rPr>
                <w:rFonts w:hint="default" w:ascii="Times New Roman" w:hAnsi="Times New Roman" w:eastAsia="宋体" w:cs="宋体"/>
                <w:sz w:val="21"/>
                <w:szCs w:val="21"/>
                <w:highlight w:val="none"/>
                <w:lang w:val="en-US" w:eastAsia="zh-CN"/>
              </w:rPr>
              <w:t>清水池（补水）77m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；回用清水池137.5m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；絮凝池90m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；搅拌池5m</w:t>
            </w:r>
            <w:r>
              <w:rPr>
                <w:rFonts w:hint="default" w:ascii="Times New Roman" w:hAnsi="Times New Roman" w:eastAsia="宋体" w:cs="宋体"/>
                <w:sz w:val="21"/>
                <w:szCs w:val="21"/>
                <w:highlight w:val="none"/>
                <w:vertAlign w:val="superscript"/>
                <w:lang w:val="en-US" w:eastAsia="zh-CN"/>
              </w:rPr>
              <w:t>3</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rPr>
            </w:pPr>
            <w:r>
              <w:rPr>
                <w:rFonts w:hint="eastAsia" w:eastAsia="宋体" w:cs="宋体"/>
                <w:sz w:val="21"/>
                <w:szCs w:val="21"/>
                <w:highlight w:val="none"/>
                <w:lang w:val="en-US" w:eastAsia="zh-CN"/>
              </w:rPr>
              <w:t>新建</w:t>
            </w:r>
            <w:r>
              <w:rPr>
                <w:rFonts w:hint="default" w:ascii="Times New Roman" w:hAnsi="Times New Roman" w:eastAsia="宋体" w:cs="宋体"/>
                <w:sz w:val="21"/>
                <w:szCs w:val="21"/>
                <w:highlight w:val="none"/>
                <w:lang w:val="en-US" w:eastAsia="zh-CN"/>
              </w:rPr>
              <w:t>清水池（补水）77m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；回用清水池137.5m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；絮凝池90m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；搅拌池5m</w:t>
            </w:r>
            <w:r>
              <w:rPr>
                <w:rFonts w:hint="default" w:ascii="Times New Roman" w:hAnsi="Times New Roman" w:eastAsia="宋体" w:cs="宋体"/>
                <w:sz w:val="21"/>
                <w:szCs w:val="21"/>
                <w:highlight w:val="none"/>
                <w:vertAlign w:val="superscript"/>
                <w:lang w:val="en-US" w:eastAsia="zh-CN"/>
              </w:rPr>
              <w:t>3</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5" w:hRule="exact"/>
        </w:trPr>
        <w:tc>
          <w:tcPr>
            <w:tcW w:w="915" w:type="dxa"/>
            <w:vMerge w:val="restart"/>
            <w:tcBorders>
              <w:tl2br w:val="nil"/>
              <w:tr2bl w:val="nil"/>
            </w:tcBorders>
            <w:vAlign w:val="center"/>
          </w:tcPr>
          <w:p>
            <w:pPr>
              <w:ind w:left="0" w:leftChars="0" w:firstLine="0" w:firstLineChars="0"/>
              <w:jc w:val="center"/>
              <w:rPr>
                <w:rFonts w:hint="default"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储运工程</w:t>
            </w: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lang w:val="en-US" w:eastAsia="zh-CN"/>
              </w:rPr>
            </w:pPr>
            <w:r>
              <w:rPr>
                <w:rFonts w:hint="default" w:ascii="Times New Roman" w:hAnsi="Times New Roman" w:eastAsia="宋体" w:cs="宋体"/>
                <w:sz w:val="21"/>
                <w:szCs w:val="21"/>
                <w:highlight w:val="none"/>
                <w:lang w:val="en-US" w:eastAsia="zh-CN"/>
              </w:rPr>
              <w:t>运输系统</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矿山生产时采用自卸汽车将直接出售的砂料运输出厂，用铲车将用于洗砂工序的原料砂运至洗砂机受料斗；洗后的建筑水洗砂采用自卸汽车外运。</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矿山生产时采用自卸汽车将直接出售的砂料运输出厂，用铲车将用于洗砂工序的原料砂运至洗砂机受料斗；洗后的建筑水洗砂采用自卸汽车外运。</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矿山生产时采用自卸汽车将直接出售的砂料运输出厂，用铲车将用于洗砂工序的原料砂运至洗砂机受料斗；洗后的建筑水洗砂采用自卸汽车外运。</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不变</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0" w:hRule="exact"/>
        </w:trPr>
        <w:tc>
          <w:tcPr>
            <w:tcW w:w="91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成品堆场</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bCs w:val="0"/>
                <w:sz w:val="21"/>
                <w:szCs w:val="21"/>
                <w:highlight w:val="none"/>
                <w:u w:val="none" w:color="000000"/>
                <w:lang w:val="en-US" w:eastAsia="zh-CN"/>
              </w:rPr>
              <w:t>料堆有</w:t>
            </w:r>
            <w:r>
              <w:rPr>
                <w:rFonts w:hint="default" w:ascii="Times New Roman" w:hAnsi="Times New Roman" w:eastAsia="宋体"/>
                <w:bCs w:val="0"/>
                <w:sz w:val="21"/>
                <w:szCs w:val="21"/>
                <w:highlight w:val="none"/>
                <w:u w:val="none" w:color="000000"/>
                <w:lang w:val="en-US" w:eastAsia="zh-CN"/>
              </w:rPr>
              <w:t>2</w:t>
            </w:r>
            <w:r>
              <w:rPr>
                <w:rFonts w:hint="eastAsia" w:ascii="Times New Roman" w:hAnsi="Times New Roman" w:eastAsia="宋体"/>
                <w:bCs w:val="0"/>
                <w:sz w:val="21"/>
                <w:szCs w:val="21"/>
                <w:highlight w:val="none"/>
                <w:u w:val="none" w:color="000000"/>
                <w:lang w:val="en-US" w:eastAsia="zh-CN"/>
              </w:rPr>
              <w:t>处，料堆</w:t>
            </w:r>
            <w:r>
              <w:rPr>
                <w:rFonts w:hint="default" w:ascii="Times New Roman" w:hAnsi="Times New Roman" w:eastAsia="宋体"/>
                <w:bCs w:val="0"/>
                <w:sz w:val="21"/>
                <w:szCs w:val="21"/>
                <w:highlight w:val="none"/>
                <w:u w:val="none" w:color="000000"/>
                <w:lang w:val="en-US" w:eastAsia="zh-CN"/>
              </w:rPr>
              <w:t>1</w:t>
            </w:r>
            <w:r>
              <w:rPr>
                <w:rFonts w:hint="eastAsia" w:ascii="Times New Roman" w:hAnsi="Times New Roman" w:eastAsia="宋体"/>
                <w:bCs w:val="0"/>
                <w:sz w:val="21"/>
                <w:szCs w:val="21"/>
                <w:highlight w:val="none"/>
                <w:u w:val="none" w:color="000000"/>
                <w:lang w:val="en-US" w:eastAsia="zh-CN"/>
              </w:rPr>
              <w:t>位于采坑</w:t>
            </w:r>
            <w:r>
              <w:rPr>
                <w:rFonts w:hint="default" w:ascii="Times New Roman" w:hAnsi="Times New Roman" w:eastAsia="宋体"/>
                <w:bCs w:val="0"/>
                <w:sz w:val="21"/>
                <w:szCs w:val="21"/>
                <w:highlight w:val="none"/>
                <w:u w:val="none" w:color="000000"/>
                <w:lang w:val="en-US" w:eastAsia="zh-CN"/>
              </w:rPr>
              <w:t>1</w:t>
            </w:r>
            <w:r>
              <w:rPr>
                <w:rFonts w:hint="eastAsia" w:ascii="Times New Roman" w:hAnsi="Times New Roman" w:eastAsia="宋体"/>
                <w:bCs w:val="0"/>
                <w:sz w:val="21"/>
                <w:szCs w:val="21"/>
                <w:highlight w:val="none"/>
                <w:u w:val="none" w:color="000000"/>
                <w:lang w:val="en-US" w:eastAsia="zh-CN"/>
              </w:rPr>
              <w:t>内西部，面积</w:t>
            </w:r>
            <w:r>
              <w:rPr>
                <w:rFonts w:hint="default" w:ascii="Times New Roman" w:hAnsi="Times New Roman" w:eastAsia="宋体"/>
                <w:bCs w:val="0"/>
                <w:sz w:val="21"/>
                <w:szCs w:val="21"/>
                <w:highlight w:val="none"/>
                <w:u w:val="none" w:color="000000"/>
                <w:lang w:val="en-US" w:eastAsia="zh-CN"/>
              </w:rPr>
              <w:t>5786m</w:t>
            </w:r>
            <w:r>
              <w:rPr>
                <w:rFonts w:hint="default"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，长</w:t>
            </w:r>
            <w:r>
              <w:rPr>
                <w:rFonts w:hint="default" w:ascii="Times New Roman" w:hAnsi="Times New Roman" w:eastAsia="宋体"/>
                <w:bCs w:val="0"/>
                <w:sz w:val="21"/>
                <w:szCs w:val="21"/>
                <w:highlight w:val="none"/>
                <w:u w:val="none" w:color="000000"/>
                <w:lang w:val="en-US" w:eastAsia="zh-CN"/>
              </w:rPr>
              <w:t>112m</w:t>
            </w:r>
            <w:r>
              <w:rPr>
                <w:rFonts w:hint="eastAsia" w:ascii="Times New Roman" w:hAnsi="Times New Roman" w:eastAsia="宋体"/>
                <w:bCs w:val="0"/>
                <w:sz w:val="21"/>
                <w:szCs w:val="21"/>
                <w:highlight w:val="none"/>
                <w:u w:val="none" w:color="000000"/>
                <w:lang w:val="en-US" w:eastAsia="zh-CN"/>
              </w:rPr>
              <w:t>，宽</w:t>
            </w:r>
            <w:r>
              <w:rPr>
                <w:rFonts w:hint="default" w:ascii="Times New Roman" w:hAnsi="Times New Roman" w:eastAsia="宋体"/>
                <w:bCs w:val="0"/>
                <w:sz w:val="21"/>
                <w:szCs w:val="21"/>
                <w:highlight w:val="none"/>
                <w:u w:val="none" w:color="000000"/>
                <w:lang w:val="en-US" w:eastAsia="zh-CN"/>
              </w:rPr>
              <w:t>70m</w:t>
            </w:r>
            <w:r>
              <w:rPr>
                <w:rFonts w:hint="eastAsia" w:ascii="Times New Roman" w:hAnsi="Times New Roman" w:eastAsia="宋体"/>
                <w:bCs w:val="0"/>
                <w:sz w:val="21"/>
                <w:szCs w:val="21"/>
                <w:highlight w:val="none"/>
                <w:u w:val="none" w:color="000000"/>
                <w:lang w:val="en-US" w:eastAsia="zh-CN"/>
              </w:rPr>
              <w:t>。料堆</w:t>
            </w:r>
            <w:r>
              <w:rPr>
                <w:rFonts w:hint="default" w:ascii="Times New Roman" w:hAnsi="Times New Roman" w:eastAsia="宋体"/>
                <w:bCs w:val="0"/>
                <w:sz w:val="21"/>
                <w:szCs w:val="21"/>
                <w:highlight w:val="none"/>
                <w:u w:val="none" w:color="000000"/>
                <w:lang w:val="en-US" w:eastAsia="zh-CN"/>
              </w:rPr>
              <w:t>2</w:t>
            </w:r>
            <w:r>
              <w:rPr>
                <w:rFonts w:hint="eastAsia" w:ascii="Times New Roman" w:hAnsi="Times New Roman" w:eastAsia="宋体"/>
                <w:bCs w:val="0"/>
                <w:sz w:val="21"/>
                <w:szCs w:val="21"/>
                <w:highlight w:val="none"/>
                <w:u w:val="none" w:color="000000"/>
                <w:lang w:val="en-US" w:eastAsia="zh-CN"/>
              </w:rPr>
              <w:t>位于</w:t>
            </w:r>
            <w:r>
              <w:rPr>
                <w:rFonts w:hint="eastAsia" w:eastAsia="宋体"/>
                <w:bCs w:val="0"/>
                <w:sz w:val="21"/>
                <w:szCs w:val="21"/>
                <w:highlight w:val="none"/>
                <w:u w:val="none" w:color="000000"/>
                <w:lang w:val="en-US" w:eastAsia="zh-CN"/>
              </w:rPr>
              <w:t>采坑2南侧</w:t>
            </w:r>
            <w:r>
              <w:rPr>
                <w:rFonts w:hint="eastAsia" w:ascii="Times New Roman" w:hAnsi="Times New Roman" w:eastAsia="宋体"/>
                <w:bCs w:val="0"/>
                <w:sz w:val="21"/>
                <w:szCs w:val="21"/>
                <w:highlight w:val="none"/>
                <w:u w:val="none" w:color="000000"/>
                <w:lang w:val="en-US" w:eastAsia="zh-CN"/>
              </w:rPr>
              <w:t>，面积</w:t>
            </w:r>
            <w:r>
              <w:rPr>
                <w:rFonts w:hint="default" w:ascii="Times New Roman" w:hAnsi="Times New Roman" w:eastAsia="宋体"/>
                <w:bCs w:val="0"/>
                <w:sz w:val="21"/>
                <w:szCs w:val="21"/>
                <w:highlight w:val="none"/>
                <w:u w:val="none" w:color="000000"/>
                <w:lang w:val="en-US" w:eastAsia="zh-CN"/>
              </w:rPr>
              <w:t>859m</w:t>
            </w:r>
            <w:r>
              <w:rPr>
                <w:rFonts w:hint="default"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，长</w:t>
            </w:r>
            <w:r>
              <w:rPr>
                <w:rFonts w:hint="default" w:ascii="Times New Roman" w:hAnsi="Times New Roman" w:eastAsia="宋体"/>
                <w:bCs w:val="0"/>
                <w:sz w:val="21"/>
                <w:szCs w:val="21"/>
                <w:highlight w:val="none"/>
                <w:u w:val="none" w:color="000000"/>
                <w:lang w:val="en-US" w:eastAsia="zh-CN"/>
              </w:rPr>
              <w:t>37m</w:t>
            </w:r>
            <w:r>
              <w:rPr>
                <w:rFonts w:hint="eastAsia" w:ascii="Times New Roman" w:hAnsi="Times New Roman" w:eastAsia="宋体"/>
                <w:bCs w:val="0"/>
                <w:sz w:val="21"/>
                <w:szCs w:val="21"/>
                <w:highlight w:val="none"/>
                <w:u w:val="none" w:color="000000"/>
                <w:lang w:val="en-US" w:eastAsia="zh-CN"/>
              </w:rPr>
              <w:t>，宽</w:t>
            </w:r>
            <w:r>
              <w:rPr>
                <w:rFonts w:hint="default" w:ascii="Times New Roman" w:hAnsi="Times New Roman" w:eastAsia="宋体"/>
                <w:bCs w:val="0"/>
                <w:sz w:val="21"/>
                <w:szCs w:val="21"/>
                <w:highlight w:val="none"/>
                <w:u w:val="none" w:color="000000"/>
                <w:lang w:val="en-US" w:eastAsia="zh-CN"/>
              </w:rPr>
              <w:t>25m</w:t>
            </w:r>
            <w:r>
              <w:rPr>
                <w:rFonts w:hint="eastAsia" w:ascii="Times New Roman" w:hAnsi="Times New Roman" w:eastAsia="宋体"/>
                <w:bCs w:val="0"/>
                <w:sz w:val="21"/>
                <w:szCs w:val="21"/>
                <w:highlight w:val="none"/>
                <w:u w:val="none" w:color="000000"/>
                <w:lang w:val="en-US" w:eastAsia="zh-CN"/>
              </w:rPr>
              <w:t>。现状</w:t>
            </w:r>
            <w:r>
              <w:rPr>
                <w:rFonts w:hint="eastAsia" w:eastAsia="宋体"/>
                <w:bCs w:val="0"/>
                <w:sz w:val="21"/>
                <w:szCs w:val="21"/>
                <w:highlight w:val="none"/>
                <w:u w:val="none" w:color="000000"/>
                <w:lang w:val="en-US" w:eastAsia="zh-CN"/>
              </w:rPr>
              <w:t>料堆1</w:t>
            </w:r>
            <w:r>
              <w:rPr>
                <w:rFonts w:hint="eastAsia" w:ascii="Times New Roman" w:hAnsi="Times New Roman" w:eastAsia="宋体"/>
                <w:bCs w:val="0"/>
                <w:sz w:val="21"/>
                <w:szCs w:val="21"/>
                <w:highlight w:val="none"/>
                <w:u w:val="none" w:color="000000"/>
                <w:lang w:val="en-US" w:eastAsia="zh-CN"/>
              </w:rPr>
              <w:t>已完成恢复治理</w:t>
            </w:r>
            <w:r>
              <w:rPr>
                <w:rFonts w:hint="eastAsia" w:eastAsia="宋体"/>
                <w:bCs w:val="0"/>
                <w:sz w:val="21"/>
                <w:szCs w:val="21"/>
                <w:highlight w:val="none"/>
                <w:u w:val="none" w:color="000000"/>
                <w:lang w:val="en-US" w:eastAsia="zh-CN"/>
              </w:rPr>
              <w:t>，料堆2继续使用</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采坑2采空区作为成品堆场，用于存放洗后的建筑水洗砂，</w:t>
            </w:r>
            <w:r>
              <w:rPr>
                <w:rFonts w:hint="eastAsia" w:eastAsia="宋体"/>
                <w:color w:val="auto"/>
                <w:sz w:val="21"/>
                <w:szCs w:val="21"/>
                <w:highlight w:val="none"/>
                <w:lang w:val="en-US" w:eastAsia="zh-CN"/>
              </w:rPr>
              <w:t>占地面积2650m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，66</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47</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，高度5m，最大堆放量为10000m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w:t>
            </w:r>
            <w:r>
              <w:rPr>
                <w:rFonts w:hint="eastAsia" w:eastAsia="宋体"/>
                <w:color w:val="FF0000"/>
                <w:sz w:val="21"/>
                <w:szCs w:val="21"/>
                <w:highlight w:val="none"/>
                <w:lang w:val="en-US" w:eastAsia="zh-CN"/>
              </w:rPr>
              <w:t>采取边销售边堆放的方式，待采坑1填满后，将采坑2成品堆场作为回填区，成品堆场在采坑2采空区向南推进，经过水洗的成品砂料主要颗粒状物料，采取苫盖措施抑尘</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采坑2采空区作为成品堆场，用于存放洗后的建筑水洗砂，</w:t>
            </w:r>
            <w:r>
              <w:rPr>
                <w:rFonts w:hint="eastAsia" w:eastAsia="宋体"/>
                <w:color w:val="auto"/>
                <w:sz w:val="21"/>
                <w:szCs w:val="21"/>
                <w:highlight w:val="none"/>
                <w:lang w:val="en-US" w:eastAsia="zh-CN"/>
              </w:rPr>
              <w:t>占地面积2650m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，66</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47</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，高度5m，最大堆放量为10000m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w:t>
            </w:r>
            <w:r>
              <w:rPr>
                <w:rFonts w:hint="eastAsia" w:eastAsia="宋体"/>
                <w:color w:val="FF0000"/>
                <w:sz w:val="21"/>
                <w:szCs w:val="21"/>
                <w:highlight w:val="none"/>
                <w:lang w:val="en-US" w:eastAsia="zh-CN"/>
              </w:rPr>
              <w:t>采取边销售边堆放的方式，待采坑1填满后，将采坑2成品堆场作为回填区，成品堆场在采坑2采空区向南推进，经过水洗的成品砂料主要颗粒状物料，采取苫盖措施抑尘；料堆2位于开坑2内作为原料砂堆场继续使用</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0"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排土场</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bCs w:val="0"/>
                <w:sz w:val="21"/>
                <w:szCs w:val="21"/>
                <w:highlight w:val="none"/>
                <w:u w:val="none" w:color="000000"/>
                <w:lang w:val="en-US" w:eastAsia="zh-CN"/>
              </w:rPr>
              <w:t>位于</w:t>
            </w:r>
            <w:r>
              <w:rPr>
                <w:rFonts w:hint="eastAsia" w:eastAsia="宋体"/>
                <w:bCs w:val="0"/>
                <w:sz w:val="21"/>
                <w:szCs w:val="21"/>
                <w:highlight w:val="none"/>
                <w:u w:val="none" w:color="000000"/>
                <w:lang w:val="en-US" w:eastAsia="zh-CN"/>
              </w:rPr>
              <w:t>采坑1内</w:t>
            </w:r>
            <w:r>
              <w:rPr>
                <w:rFonts w:hint="eastAsia" w:ascii="Times New Roman" w:hAnsi="Times New Roman" w:eastAsia="宋体"/>
                <w:bCs w:val="0"/>
                <w:sz w:val="21"/>
                <w:szCs w:val="21"/>
                <w:highlight w:val="none"/>
                <w:u w:val="none" w:color="000000"/>
                <w:lang w:val="en-US" w:eastAsia="zh-CN"/>
              </w:rPr>
              <w:t>，面积2362m</w:t>
            </w:r>
            <w:r>
              <w:rPr>
                <w:rFonts w:hint="eastAsia"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 xml:space="preserve"> ，长75m，宽42m，。弃土全部用于回填采坑</w:t>
            </w:r>
            <w:r>
              <w:rPr>
                <w:rFonts w:hint="eastAsia" w:eastAsia="宋体"/>
                <w:bCs w:val="0"/>
                <w:sz w:val="21"/>
                <w:szCs w:val="21"/>
                <w:highlight w:val="none"/>
                <w:u w:val="none" w:color="000000"/>
                <w:lang w:val="en-US" w:eastAsia="zh-CN"/>
              </w:rPr>
              <w:t>1</w:t>
            </w:r>
            <w:r>
              <w:rPr>
                <w:rFonts w:hint="eastAsia" w:ascii="Times New Roman" w:hAnsi="Times New Roman" w:eastAsia="宋体"/>
                <w:bCs w:val="0"/>
                <w:sz w:val="21"/>
                <w:szCs w:val="21"/>
                <w:highlight w:val="none"/>
                <w:u w:val="none" w:color="000000"/>
                <w:lang w:val="en-US" w:eastAsia="zh-CN"/>
              </w:rPr>
              <w:t>，现状已完成恢复治理。</w:t>
            </w:r>
          </w:p>
        </w:tc>
        <w:tc>
          <w:tcPr>
            <w:tcW w:w="3450" w:type="dxa"/>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本项目不设排土场，产生的弃土和底泥全部回填至采坑1，待采坑1回填满后，回填至采坑2采空区</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eastAsia"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本项目不设排土场，产生的弃土和底泥全部回填至采坑1，待采坑1回填满后，回填至采坑2采空区</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2"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eastAsia" w:eastAsia="宋体" w:cs="宋体"/>
                <w:sz w:val="21"/>
                <w:szCs w:val="21"/>
                <w:highlight w:val="none"/>
                <w:lang w:val="en-US" w:eastAsia="zh-CN"/>
              </w:rPr>
            </w:pPr>
            <w:r>
              <w:rPr>
                <w:rFonts w:hint="eastAsia" w:eastAsia="宋体"/>
                <w:color w:val="auto"/>
                <w:sz w:val="21"/>
                <w:szCs w:val="24"/>
                <w:highlight w:val="none"/>
                <w:lang w:val="en-US" w:eastAsia="zh-CN"/>
              </w:rPr>
              <w:t>表土场</w:t>
            </w:r>
          </w:p>
        </w:tc>
        <w:tc>
          <w:tcPr>
            <w:tcW w:w="3173" w:type="dxa"/>
            <w:tcBorders>
              <w:tl2br w:val="nil"/>
              <w:tr2bl w:val="nil"/>
            </w:tcBorders>
            <w:vAlign w:val="center"/>
          </w:tcPr>
          <w:p>
            <w:pPr>
              <w:pStyle w:val="118"/>
              <w:spacing w:line="246" w:lineRule="exact"/>
              <w:ind w:left="0" w:leftChars="0" w:right="0" w:firstLine="0" w:firstLineChars="0"/>
              <w:jc w:val="center"/>
              <w:rPr>
                <w:rFonts w:hint="eastAsia" w:ascii="Times New Roman" w:hAnsi="Times New Roman" w:eastAsia="宋体"/>
                <w:bCs w:val="0"/>
                <w:sz w:val="21"/>
                <w:szCs w:val="21"/>
                <w:highlight w:val="none"/>
                <w:u w:val="none" w:color="000000"/>
                <w:lang w:val="en-US" w:eastAsia="zh-CN"/>
              </w:rPr>
            </w:pPr>
            <w:r>
              <w:rPr>
                <w:rFonts w:hint="eastAsia" w:ascii="Times New Roman" w:hAnsi="Times New Roman" w:eastAsia="宋体"/>
                <w:bCs w:val="0"/>
                <w:sz w:val="21"/>
                <w:szCs w:val="21"/>
                <w:highlight w:val="none"/>
                <w:u w:val="none" w:color="000000"/>
                <w:lang w:val="en-US" w:eastAsia="zh-CN"/>
              </w:rPr>
              <w:t>位于采坑1内料堆1东部，面积911m</w:t>
            </w:r>
            <w:r>
              <w:rPr>
                <w:rFonts w:hint="eastAsia"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，长37m，宽30m，高度5m，堆放量3644m</w:t>
            </w:r>
            <w:r>
              <w:rPr>
                <w:rFonts w:hint="eastAsia" w:ascii="Times New Roman" w:hAnsi="Times New Roman" w:eastAsia="宋体"/>
                <w:bCs w:val="0"/>
                <w:sz w:val="21"/>
                <w:szCs w:val="21"/>
                <w:highlight w:val="none"/>
                <w:u w:val="none" w:color="000000"/>
                <w:vertAlign w:val="superscript"/>
                <w:lang w:val="en-US" w:eastAsia="zh-CN"/>
              </w:rPr>
              <w:t>3</w:t>
            </w:r>
            <w:r>
              <w:rPr>
                <w:rFonts w:hint="eastAsia" w:ascii="Times New Roman" w:hAnsi="Times New Roman" w:eastAsia="宋体"/>
                <w:bCs w:val="0"/>
                <w:sz w:val="21"/>
                <w:szCs w:val="21"/>
                <w:highlight w:val="none"/>
                <w:u w:val="none" w:color="000000"/>
                <w:lang w:val="en-US" w:eastAsia="zh-CN"/>
              </w:rPr>
              <w:t>。主要用于表土堆放。表土第一年覆土使用1800m</w:t>
            </w:r>
            <w:r>
              <w:rPr>
                <w:rFonts w:hint="eastAsia" w:ascii="Times New Roman" w:hAnsi="Times New Roman" w:eastAsia="宋体"/>
                <w:bCs w:val="0"/>
                <w:sz w:val="21"/>
                <w:szCs w:val="21"/>
                <w:highlight w:val="none"/>
                <w:u w:val="none" w:color="000000"/>
                <w:vertAlign w:val="superscript"/>
                <w:lang w:val="en-US" w:eastAsia="zh-CN"/>
              </w:rPr>
              <w:t>3</w:t>
            </w:r>
            <w:r>
              <w:rPr>
                <w:rFonts w:hint="eastAsia" w:ascii="Times New Roman" w:hAnsi="Times New Roman" w:eastAsia="宋体"/>
                <w:bCs w:val="0"/>
                <w:sz w:val="21"/>
                <w:szCs w:val="21"/>
                <w:highlight w:val="none"/>
                <w:u w:val="none" w:color="000000"/>
                <w:lang w:val="en-US" w:eastAsia="zh-CN"/>
              </w:rPr>
              <w:t>，剩余1844m</w:t>
            </w:r>
            <w:r>
              <w:rPr>
                <w:rFonts w:hint="eastAsia" w:ascii="Times New Roman" w:hAnsi="Times New Roman" w:eastAsia="宋体"/>
                <w:bCs w:val="0"/>
                <w:sz w:val="21"/>
                <w:szCs w:val="21"/>
                <w:highlight w:val="none"/>
                <w:u w:val="none" w:color="000000"/>
                <w:vertAlign w:val="superscript"/>
                <w:lang w:val="en-US" w:eastAsia="zh-CN"/>
              </w:rPr>
              <w:t>3</w:t>
            </w:r>
            <w:r>
              <w:rPr>
                <w:rFonts w:hint="eastAsia" w:ascii="Times New Roman" w:hAnsi="Times New Roman" w:eastAsia="宋体"/>
                <w:bCs w:val="0"/>
                <w:sz w:val="21"/>
                <w:szCs w:val="21"/>
                <w:highlight w:val="none"/>
                <w:u w:val="none" w:color="000000"/>
                <w:lang w:val="en-US" w:eastAsia="zh-CN"/>
              </w:rPr>
              <w:t>清运至新设临时表土场</w:t>
            </w:r>
          </w:p>
        </w:tc>
        <w:tc>
          <w:tcPr>
            <w:tcW w:w="3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sz w:val="21"/>
                <w:szCs w:val="24"/>
                <w:highlight w:val="none"/>
                <w:lang w:val="en-US" w:eastAsia="zh-CN"/>
              </w:rPr>
            </w:pPr>
            <w:r>
              <w:rPr>
                <w:rFonts w:hint="eastAsia" w:eastAsia="宋体"/>
                <w:color w:val="FF0000"/>
                <w:sz w:val="21"/>
                <w:szCs w:val="21"/>
                <w:highlight w:val="none"/>
                <w:lang w:val="en-US" w:eastAsia="zh-CN"/>
              </w:rPr>
              <w:t>本表土场设置到工业场地西部，面积2000m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，堆高3m，可以堆放6000m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，采取苫盖、播撒草籽措施，防止扬尘和水土流失</w:t>
            </w:r>
          </w:p>
        </w:tc>
        <w:tc>
          <w:tcPr>
            <w:tcW w:w="3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sz w:val="21"/>
                <w:szCs w:val="24"/>
                <w:highlight w:val="none"/>
                <w:lang w:val="en-US" w:eastAsia="zh-CN"/>
              </w:rPr>
            </w:pPr>
            <w:r>
              <w:rPr>
                <w:rFonts w:hint="eastAsia" w:eastAsia="宋体"/>
                <w:color w:val="FF0000"/>
                <w:sz w:val="21"/>
                <w:szCs w:val="21"/>
                <w:highlight w:val="none"/>
                <w:lang w:val="en-US" w:eastAsia="zh-CN"/>
              </w:rPr>
              <w:t>本表土场设置到工业场地西部，面积2000m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，堆高3m，可以堆放6000m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，采取苫盖、播撒草籽措施，防止扬尘和水土流失</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lang w:val="en-US" w:eastAsia="zh-CN"/>
              </w:rPr>
            </w:pPr>
            <w:r>
              <w:rPr>
                <w:rFonts w:hint="default" w:ascii="Times New Roman" w:hAnsi="Times New Roman" w:eastAsia="宋体" w:cs="宋体"/>
                <w:sz w:val="21"/>
                <w:szCs w:val="21"/>
                <w:highlight w:val="none"/>
                <w:lang w:val="en-US" w:eastAsia="zh-CN"/>
              </w:rPr>
              <w:t>道路</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olor w:val="auto"/>
                <w:sz w:val="21"/>
                <w:szCs w:val="24"/>
                <w:highlight w:val="none"/>
                <w:lang w:val="en-US" w:eastAsia="zh-CN"/>
              </w:rPr>
              <w:t>道路采用级配碎石路面，长约</w:t>
            </w:r>
            <w:r>
              <w:rPr>
                <w:rFonts w:hint="eastAsia" w:eastAsia="宋体"/>
                <w:color w:val="auto"/>
                <w:sz w:val="21"/>
                <w:szCs w:val="24"/>
                <w:highlight w:val="none"/>
                <w:lang w:val="en-US" w:eastAsia="zh-CN"/>
              </w:rPr>
              <w:t>3</w:t>
            </w:r>
            <w:r>
              <w:rPr>
                <w:rFonts w:hint="eastAsia" w:ascii="Times New Roman" w:hAnsi="Times New Roman" w:eastAsia="宋体"/>
                <w:color w:val="auto"/>
                <w:sz w:val="21"/>
                <w:szCs w:val="24"/>
                <w:highlight w:val="none"/>
                <w:lang w:val="en-US" w:eastAsia="zh-CN"/>
              </w:rPr>
              <w:t>km，路基宽7.5m，路面宽6m；道路最大纵坡度8%，最小平曲线半径9m</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olor w:val="auto"/>
                <w:sz w:val="21"/>
                <w:szCs w:val="24"/>
                <w:highlight w:val="none"/>
                <w:lang w:val="en-US" w:eastAsia="zh-CN"/>
              </w:rPr>
              <w:t>道路采用级配碎石路面，长约</w:t>
            </w:r>
            <w:r>
              <w:rPr>
                <w:rFonts w:hint="eastAsia" w:eastAsia="宋体"/>
                <w:color w:val="auto"/>
                <w:sz w:val="21"/>
                <w:szCs w:val="24"/>
                <w:highlight w:val="none"/>
                <w:lang w:val="en-US" w:eastAsia="zh-CN"/>
              </w:rPr>
              <w:t>3</w:t>
            </w:r>
            <w:r>
              <w:rPr>
                <w:rFonts w:hint="eastAsia" w:ascii="Times New Roman" w:hAnsi="Times New Roman" w:eastAsia="宋体"/>
                <w:color w:val="auto"/>
                <w:sz w:val="21"/>
                <w:szCs w:val="24"/>
                <w:highlight w:val="none"/>
                <w:lang w:val="en-US" w:eastAsia="zh-CN"/>
              </w:rPr>
              <w:t>km，路基宽7.5m，路面宽6m；道路最大纵坡度8%，最小平曲线半径9m</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不变</w:t>
            </w:r>
          </w:p>
        </w:tc>
      </w:tr>
    </w:tbl>
    <w:p>
      <w:pPr>
        <w:ind w:left="0" w:leftChars="0" w:firstLine="0" w:firstLineChars="0"/>
        <w:rPr>
          <w:rFonts w:hint="eastAsia" w:ascii="Times New Roman" w:hAnsi="Times New Roman" w:eastAsia="宋体"/>
          <w:b w:val="0"/>
          <w:bCs/>
          <w:color w:val="auto"/>
          <w:highlight w:val="yellow"/>
          <w:lang w:val="en-US" w:eastAsia="zh-CN"/>
        </w:rPr>
      </w:pPr>
    </w:p>
    <w:p>
      <w:pPr>
        <w:ind w:left="0" w:leftChars="0" w:firstLine="0" w:firstLineChars="0"/>
        <w:rPr>
          <w:rFonts w:hint="eastAsia" w:ascii="Times New Roman" w:hAnsi="Times New Roman" w:eastAsia="宋体"/>
          <w:b w:val="0"/>
          <w:bCs/>
          <w:color w:val="auto"/>
          <w:highlight w:val="yellow"/>
          <w:lang w:val="en-US" w:eastAsia="zh-CN"/>
        </w:rPr>
      </w:pPr>
    </w:p>
    <w:p>
      <w:pPr>
        <w:ind w:left="0" w:leftChars="0" w:firstLine="0" w:firstLineChars="0"/>
        <w:rPr>
          <w:rFonts w:hint="eastAsia" w:ascii="Times New Roman" w:hAnsi="Times New Roman" w:eastAsia="宋体"/>
          <w:b w:val="0"/>
          <w:bCs/>
          <w:color w:val="auto"/>
          <w:highlight w:val="yellow"/>
          <w:lang w:val="en-US" w:eastAsia="zh-CN"/>
        </w:rPr>
        <w:sectPr>
          <w:pgSz w:w="16783" w:h="11850"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rPr>
      </w:pPr>
      <w:bookmarkStart w:id="99" w:name="_Toc687"/>
      <w:r>
        <w:rPr>
          <w:rFonts w:hint="eastAsia" w:ascii="Times New Roman" w:hAnsi="Times New Roman" w:eastAsia="宋体"/>
          <w:b/>
          <w:bCs w:val="0"/>
          <w:color w:val="auto"/>
          <w:highlight w:val="none"/>
        </w:rPr>
        <w:t xml:space="preserve">3.4 </w:t>
      </w:r>
      <w:r>
        <w:rPr>
          <w:rFonts w:hint="eastAsia" w:ascii="Times New Roman" w:hAnsi="Times New Roman" w:eastAsia="宋体"/>
          <w:b/>
          <w:bCs w:val="0"/>
          <w:color w:val="auto"/>
          <w:highlight w:val="none"/>
          <w:lang w:val="en-US" w:eastAsia="zh-CN"/>
        </w:rPr>
        <w:t>矿产资源概况</w:t>
      </w:r>
      <w:bookmarkEnd w:id="99"/>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0" w:name="_Toc19215"/>
      <w:r>
        <w:rPr>
          <w:rFonts w:hint="eastAsia" w:ascii="Times New Roman" w:hAnsi="Times New Roman" w:eastAsia="宋体"/>
          <w:b/>
          <w:bCs w:val="0"/>
          <w:color w:val="auto"/>
          <w:sz w:val="28"/>
          <w:szCs w:val="28"/>
          <w:highlight w:val="none"/>
          <w:lang w:val="en-US" w:eastAsia="zh-CN"/>
        </w:rPr>
        <w:t>3.4.1 矿产资源条件</w:t>
      </w:r>
      <w:bookmarkEnd w:id="100"/>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eastAsia="宋体"/>
          <w:color w:val="auto"/>
          <w:highlight w:val="none"/>
          <w:lang w:val="en-US" w:eastAsia="zh-CN"/>
        </w:rPr>
        <w:t>根据由锡林郭勒盟中晟达地质环境技术咨询有限公司于2020年6月初编制完成的</w:t>
      </w:r>
      <w:r>
        <w:rPr>
          <w:rFonts w:hint="eastAsia" w:ascii="Times New Roman" w:hAnsi="Times New Roman" w:eastAsia="宋体"/>
          <w:color w:val="auto"/>
          <w:highlight w:val="none"/>
          <w:lang w:val="en-US" w:eastAsia="zh-CN"/>
        </w:rPr>
        <w:t>《内蒙古自治区苏尼特右旗巴润宝力格采砂场资源储量核实报告》。截止2020年4月30日，矿区范围内累计查明矿产资源量</w:t>
      </w:r>
      <w:r>
        <w:rPr>
          <w:rFonts w:hint="eastAsia" w:eastAsia="宋体"/>
          <w:color w:val="auto"/>
          <w:highlight w:val="none"/>
          <w:lang w:val="en-US" w:eastAsia="zh-CN"/>
        </w:rPr>
        <w:t>（</w:t>
      </w:r>
      <w:r>
        <w:rPr>
          <w:rFonts w:hint="eastAsia" w:ascii="Times New Roman" w:hAnsi="Times New Roman" w:eastAsia="宋体"/>
          <w:color w:val="auto"/>
          <w:highlight w:val="none"/>
          <w:lang w:val="en-US" w:eastAsia="zh-CN"/>
        </w:rPr>
        <w:t>333</w:t>
      </w:r>
      <w:r>
        <w:rPr>
          <w:rFonts w:hint="eastAsia" w:eastAsia="宋体"/>
          <w:color w:val="auto"/>
          <w:highlight w:val="none"/>
          <w:lang w:val="en-US" w:eastAsia="zh-CN"/>
        </w:rPr>
        <w:t>）</w:t>
      </w:r>
      <w:r>
        <w:rPr>
          <w:rFonts w:hint="eastAsia" w:ascii="Times New Roman" w:hAnsi="Times New Roman" w:eastAsia="宋体"/>
          <w:color w:val="auto"/>
          <w:highlight w:val="none"/>
          <w:lang w:val="en-US" w:eastAsia="zh-CN"/>
        </w:rPr>
        <w:t>矿石量55.24×10</w:t>
      </w:r>
      <w:r>
        <w:rPr>
          <w:rFonts w:hint="eastAsia" w:ascii="Times New Roman" w:hAnsi="Times New Roman" w:eastAsia="宋体"/>
          <w:color w:val="auto"/>
          <w:highlight w:val="none"/>
          <w:vertAlign w:val="superscript"/>
          <w:lang w:val="en-US" w:eastAsia="zh-CN"/>
        </w:rPr>
        <w:t>4</w:t>
      </w:r>
      <w:r>
        <w:rPr>
          <w:rFonts w:hint="eastAsia" w:ascii="Times New Roman" w:hAnsi="Times New Roman" w:eastAsia="宋体"/>
          <w:color w:val="auto"/>
          <w:highlight w:val="none"/>
          <w:lang w:val="en-US" w:eastAsia="zh-CN"/>
        </w:rPr>
        <w:t>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，保有矿产资源量（333）48.84×10</w:t>
      </w:r>
      <w:r>
        <w:rPr>
          <w:rFonts w:hint="eastAsia" w:ascii="Times New Roman" w:hAnsi="Times New Roman" w:eastAsia="宋体"/>
          <w:color w:val="auto"/>
          <w:highlight w:val="none"/>
          <w:vertAlign w:val="superscript"/>
          <w:lang w:val="en-US" w:eastAsia="zh-CN"/>
        </w:rPr>
        <w:t>4</w:t>
      </w:r>
      <w:r>
        <w:rPr>
          <w:rFonts w:hint="eastAsia" w:ascii="Times New Roman" w:hAnsi="Times New Roman" w:eastAsia="宋体"/>
          <w:color w:val="auto"/>
          <w:highlight w:val="none"/>
          <w:lang w:val="en-US" w:eastAsia="zh-CN"/>
        </w:rPr>
        <w:t>m</w:t>
      </w:r>
      <w:r>
        <w:rPr>
          <w:rFonts w:hint="eastAsia" w:ascii="Times New Roman" w:hAnsi="Times New Roman" w:eastAsia="宋体"/>
          <w:color w:val="auto"/>
          <w:highlight w:val="none"/>
          <w:vertAlign w:val="superscript"/>
          <w:lang w:val="en-US" w:eastAsia="zh-CN"/>
        </w:rPr>
        <w:t>3</w:t>
      </w:r>
      <w:r>
        <w:rPr>
          <w:rFonts w:hint="eastAsia" w:eastAsia="宋体"/>
          <w:color w:val="FF0000"/>
          <w:sz w:val="24"/>
          <w:szCs w:val="24"/>
          <w:highlight w:val="none"/>
          <w:vertAlign w:val="baseline"/>
          <w:lang w:eastAsia="zh-CN"/>
        </w:rPr>
        <w:t>（</w:t>
      </w:r>
      <w:r>
        <w:rPr>
          <w:rFonts w:hint="eastAsia" w:eastAsia="宋体"/>
          <w:color w:val="FF0000"/>
          <w:sz w:val="24"/>
          <w:szCs w:val="24"/>
          <w:highlight w:val="none"/>
          <w:vertAlign w:val="baseline"/>
          <w:lang w:val="en-US" w:eastAsia="zh-CN"/>
        </w:rPr>
        <w:t>其中界内22.17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val="en-US" w:eastAsia="zh-CN"/>
        </w:rPr>
        <w:t>，界外26.67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eastAsia="zh-CN"/>
        </w:rPr>
        <w:t>），</w:t>
      </w:r>
      <w:r>
        <w:rPr>
          <w:rFonts w:hint="eastAsia" w:eastAsia="宋体"/>
          <w:color w:val="FF0000"/>
          <w:highlight w:val="none"/>
          <w:lang w:val="en-US" w:eastAsia="zh-CN"/>
        </w:rPr>
        <w:t>采矿证现有范围内，东北部有26667m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区域地表标高高于开采区域1146m以上，该区域最高1152.98~1146m之间储有资源量</w:t>
      </w:r>
      <w:r>
        <w:rPr>
          <w:rFonts w:hint="eastAsia" w:eastAsia="宋体"/>
          <w:color w:val="FF0000"/>
          <w:sz w:val="24"/>
          <w:szCs w:val="24"/>
          <w:highlight w:val="none"/>
          <w:vertAlign w:val="baseline"/>
          <w:lang w:val="en-US" w:eastAsia="zh-CN"/>
        </w:rPr>
        <w:t>26.67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eastAsia="zh-CN"/>
        </w:rPr>
        <w:t>，</w:t>
      </w:r>
      <w:r>
        <w:rPr>
          <w:rFonts w:hint="eastAsia" w:eastAsia="宋体"/>
          <w:color w:val="FF0000"/>
          <w:sz w:val="24"/>
          <w:szCs w:val="24"/>
          <w:highlight w:val="none"/>
          <w:vertAlign w:val="baseline"/>
          <w:lang w:val="en-US" w:eastAsia="zh-CN"/>
        </w:rPr>
        <w:t>建设单位需变更采矿标高范围后，才可以开采该区域</w:t>
      </w:r>
      <w:r>
        <w:rPr>
          <w:rFonts w:hint="eastAsia" w:ascii="Times New Roman" w:hAnsi="Times New Roman" w:eastAsia="宋体"/>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根据矿床地质特征和地质勘查程度及国土资源部（国土资发[2002]271号）文件精神，本方案采用推断的内蕴经济资源量</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333</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按可采系数</w:t>
      </w:r>
      <w:r>
        <w:rPr>
          <w:rFonts w:hint="eastAsia" w:eastAsia="宋体"/>
          <w:color w:val="FF0000"/>
          <w:highlight w:val="none"/>
          <w:lang w:val="en-US" w:eastAsia="zh-CN"/>
        </w:rPr>
        <w:t>80</w:t>
      </w:r>
      <w:r>
        <w:rPr>
          <w:rFonts w:hint="eastAsia" w:ascii="Times New Roman" w:hAnsi="Times New Roman" w:eastAsia="宋体"/>
          <w:color w:val="FF0000"/>
          <w:highlight w:val="none"/>
          <w:lang w:val="en-US" w:eastAsia="zh-CN"/>
        </w:rPr>
        <w:t>%计算矿石量（48.84×10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80</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=39.07</w:t>
      </w:r>
      <w:r>
        <w:rPr>
          <w:rFonts w:hint="eastAsia" w:ascii="Times New Roman" w:hAnsi="Times New Roman" w:eastAsia="宋体"/>
          <w:color w:val="FF0000"/>
          <w:highlight w:val="none"/>
          <w:lang w:val="en-US" w:eastAsia="zh-CN"/>
        </w:rPr>
        <w:t>×10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val="en-US" w:eastAsia="zh-CN"/>
        </w:rPr>
      </w:pPr>
      <w:r>
        <w:rPr>
          <w:rFonts w:hint="eastAsia" w:eastAsia="宋体"/>
          <w:color w:val="FF0000"/>
          <w:highlight w:val="none"/>
          <w:lang w:val="en-US" w:eastAsia="zh-CN"/>
        </w:rPr>
        <w:t>根据矿山资源条件，推断的内蕴经济资源量情况和开采技术条件并结合市场需求和矿山企业的相关意见等，矿山建设规模为6×10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/a，矿山总服务年限为6.2年。年工作240天，每天1班，每班8小时，产品方案为建筑用砂，无共伴生矿产资源。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val="en-US" w:eastAsia="zh-CN"/>
        </w:rPr>
      </w:pPr>
      <w:r>
        <w:rPr>
          <w:rFonts w:hint="eastAsia" w:eastAsia="宋体"/>
          <w:color w:val="auto"/>
          <w:highlight w:val="none"/>
          <w:lang w:val="en-US" w:eastAsia="zh-CN"/>
        </w:rPr>
        <w:t>开发方案推荐采用露天开采方式，公路开拓-汽车运输方案。</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1" w:name="_Toc28754"/>
      <w:r>
        <w:rPr>
          <w:rFonts w:hint="eastAsia" w:ascii="Times New Roman" w:hAnsi="Times New Roman" w:eastAsia="宋体"/>
          <w:b/>
          <w:bCs w:val="0"/>
          <w:color w:val="auto"/>
          <w:sz w:val="28"/>
          <w:szCs w:val="28"/>
          <w:highlight w:val="none"/>
          <w:lang w:val="en-US" w:eastAsia="zh-CN"/>
        </w:rPr>
        <w:t>3.4.2 产品方案、服务年限及工作制度</w:t>
      </w:r>
      <w:bookmarkEnd w:id="101"/>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（1）产品方案</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最终产品为</w:t>
      </w:r>
      <w:r>
        <w:rPr>
          <w:rFonts w:hint="eastAsia" w:eastAsia="宋体"/>
          <w:color w:val="FF0000"/>
          <w:highlight w:val="none"/>
          <w:lang w:val="en-US" w:eastAsia="zh-CN"/>
        </w:rPr>
        <w:t>开采的建筑用砂和水洗砂</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砂料粒度0.02~0.06</w:t>
      </w:r>
      <w:r>
        <w:rPr>
          <w:rFonts w:hint="eastAsia" w:ascii="Times New Roman" w:hAnsi="Times New Roman" w:eastAsia="宋体"/>
          <w:color w:val="FF0000"/>
          <w:highlight w:val="none"/>
          <w:lang w:val="en-US" w:eastAsia="zh-CN"/>
        </w:rPr>
        <w:t>mm</w:t>
      </w:r>
      <w:r>
        <w:rPr>
          <w:rFonts w:hint="eastAsia" w:eastAsia="宋体"/>
          <w:color w:val="FF0000"/>
          <w:highlight w:val="none"/>
          <w:lang w:val="en-US" w:eastAsia="zh-CN"/>
        </w:rPr>
        <w:t>；以及筛分产生的石料，石料能出售优先出售利用，不能出售的回填至采空区。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（2）服务年限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根据《资源储量核实报告》，矿山剩余资源量48.84×10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eastAsia="宋体"/>
          <w:color w:val="FF0000"/>
          <w:sz w:val="24"/>
          <w:szCs w:val="24"/>
          <w:highlight w:val="none"/>
          <w:vertAlign w:val="baseline"/>
          <w:lang w:eastAsia="zh-CN"/>
        </w:rPr>
        <w:t>（</w:t>
      </w:r>
      <w:r>
        <w:rPr>
          <w:rFonts w:hint="eastAsia" w:eastAsia="宋体"/>
          <w:color w:val="FF0000"/>
          <w:sz w:val="24"/>
          <w:szCs w:val="24"/>
          <w:highlight w:val="none"/>
          <w:vertAlign w:val="baseline"/>
          <w:lang w:val="en-US" w:eastAsia="zh-CN"/>
        </w:rPr>
        <w:t>其中界内22.17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val="en-US" w:eastAsia="zh-CN"/>
        </w:rPr>
        <w:t>，界外26.67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eastAsia="zh-CN"/>
        </w:rPr>
        <w:t>）</w:t>
      </w:r>
      <w:r>
        <w:rPr>
          <w:rFonts w:hint="eastAsia" w:ascii="Times New Roman" w:hAnsi="Times New Roman" w:eastAsia="宋体"/>
          <w:color w:val="FF0000"/>
          <w:highlight w:val="none"/>
          <w:lang w:val="en-US" w:eastAsia="zh-CN"/>
        </w:rPr>
        <w:t>。依据《开发利用方案》：该矿回采率按照95%计，设计的生产规模为6×10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 xml:space="preserve"> /a，服务年限按下式计算： </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T=Q×P/A =48.84×10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80</w:t>
      </w:r>
      <w:r>
        <w:rPr>
          <w:rFonts w:hint="eastAsia" w:ascii="Times New Roman" w:hAnsi="Times New Roman" w:eastAsia="宋体"/>
          <w:color w:val="FF0000"/>
          <w:highlight w:val="none"/>
          <w:lang w:val="en-US" w:eastAsia="zh-CN"/>
        </w:rPr>
        <w:t>%×95%/</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6×10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 xml:space="preserve"> /a</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 xml:space="preserve">≈6.2 年。 </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式中：Ｔ——矿区服务年限（年）</w:t>
      </w:r>
      <w:r>
        <w:rPr>
          <w:rFonts w:hint="eastAsia"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Ｑ——保有资源量（10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变更完采矿权范围后，矿山服务年限为6.2年</w:t>
      </w:r>
      <w:r>
        <w:rPr>
          <w:rFonts w:hint="eastAsia" w:ascii="Times New Roman" w:hAnsi="Times New Roman"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劳动定员及工作制定</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eastAsia="zh-CN"/>
        </w:rPr>
        <w:t>建成</w:t>
      </w:r>
      <w:r>
        <w:rPr>
          <w:rFonts w:hint="eastAsia" w:ascii="Times New Roman" w:hAnsi="Times New Roman" w:eastAsia="宋体"/>
          <w:color w:val="auto"/>
          <w:highlight w:val="none"/>
        </w:rPr>
        <w:t>后劳动定员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人，全年工作</w:t>
      </w:r>
      <w:r>
        <w:rPr>
          <w:rFonts w:hint="eastAsia" w:ascii="Times New Roman" w:hAnsi="Times New Roman" w:eastAsia="宋体"/>
          <w:color w:val="auto"/>
          <w:highlight w:val="none"/>
          <w:lang w:val="en-US" w:eastAsia="zh-CN"/>
        </w:rPr>
        <w:t>240</w:t>
      </w:r>
      <w:r>
        <w:rPr>
          <w:rFonts w:hint="eastAsia" w:ascii="Times New Roman" w:hAnsi="Times New Roman" w:eastAsia="宋体"/>
          <w:color w:val="auto"/>
          <w:highlight w:val="none"/>
        </w:rPr>
        <w:t>天，主要集中在</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月~11月。每日</w:t>
      </w:r>
      <w:r>
        <w:rPr>
          <w:rFonts w:hint="eastAsia" w:eastAsia="宋体"/>
          <w:color w:val="auto"/>
          <w:highlight w:val="none"/>
          <w:lang w:val="en-US" w:eastAsia="zh-CN"/>
        </w:rPr>
        <w:t>一</w:t>
      </w:r>
      <w:r>
        <w:rPr>
          <w:rFonts w:hint="eastAsia" w:ascii="Times New Roman" w:hAnsi="Times New Roman" w:eastAsia="宋体"/>
          <w:color w:val="auto"/>
          <w:highlight w:val="none"/>
        </w:rPr>
        <w:t>班生产，每班工作8小时。</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28"/>
          <w:szCs w:val="28"/>
          <w:highlight w:val="none"/>
          <w:lang w:val="en-US" w:eastAsia="zh-CN"/>
        </w:rPr>
      </w:pPr>
      <w:bookmarkStart w:id="102" w:name="_Toc84"/>
      <w:r>
        <w:rPr>
          <w:rFonts w:hint="eastAsia" w:ascii="Times New Roman" w:hAnsi="Times New Roman" w:eastAsia="宋体"/>
          <w:b/>
          <w:bCs w:val="0"/>
          <w:color w:val="auto"/>
          <w:sz w:val="28"/>
          <w:szCs w:val="28"/>
          <w:highlight w:val="none"/>
          <w:lang w:val="en-US" w:eastAsia="zh-CN"/>
        </w:rPr>
        <w:t>3.4.3 矿体</w:t>
      </w:r>
      <w:r>
        <w:rPr>
          <w:rFonts w:hint="eastAsia" w:eastAsia="宋体"/>
          <w:b/>
          <w:bCs w:val="0"/>
          <w:color w:val="auto"/>
          <w:sz w:val="28"/>
          <w:szCs w:val="28"/>
          <w:highlight w:val="none"/>
          <w:lang w:val="en-US" w:eastAsia="zh-CN"/>
        </w:rPr>
        <w:t>（层）特征</w:t>
      </w:r>
      <w:bookmarkEnd w:id="102"/>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矿区内共圈出建筑用砂矿体1层，编号为Ⅰ号矿体。该矿体呈层状-厚层状赋存于第四系全新统之中，属冲洪积砂，矿体的空间分布严格受河道分布范围的控制。</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次施工的6个探坑全部见矿，控制矿体长度约400m，宽度约230m，属小型矿体。本次探坑揭露矿体厚度最大为12.70m（TK2-1），最小4.90m（TK0-2），平均6.98m。由于矿体的形成主要为机械沉积分异作用，岩石碎屑在被水流搬运的过程中，搬运能力也随距离的增加逐渐减弱，矿体厚度受河道控制呈近东西向延伸，矿体厚度由河床中部向边部变薄，形态规则简单。</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根据1:1000地质填图，除在采坑内发现矿体露头外，在其他区域未发现矿体露头，矿区矿体属埋藏矿体。根据探坑工程地质资料显示矿区矿体埋深0.3（TK2-2）～0.5m（TK2-1），局部可达0.7m(采坑边缘)，平均0.50m。</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矿体产状基本同地层产状一致，呈近东西展布，近水平状产出。从剖面上看，矿体呈层状-薄层状，矿体连续性较好，局部夹红色粘土条带，厚度一般小于1.5～1.8m。矿体特征见表</w:t>
      </w:r>
      <w:r>
        <w:rPr>
          <w:rFonts w:hint="eastAsia" w:eastAsia="宋体"/>
          <w:color w:val="auto"/>
          <w:highlight w:val="none"/>
          <w:lang w:val="en-US" w:eastAsia="zh-CN"/>
        </w:rPr>
        <w:t>3.</w:t>
      </w:r>
      <w:r>
        <w:rPr>
          <w:rFonts w:hint="eastAsia" w:ascii="Times New Roman" w:hAnsi="Times New Roman" w:eastAsia="宋体"/>
          <w:color w:val="auto"/>
          <w:highlight w:val="none"/>
          <w:lang w:val="en-US" w:eastAsia="zh-CN"/>
        </w:rPr>
        <w:t>4-1。</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w:t>
      </w:r>
      <w:r>
        <w:rPr>
          <w:rFonts w:hint="eastAsia" w:eastAsia="宋体"/>
          <w:b/>
          <w:bCs/>
          <w:color w:val="auto"/>
          <w:highlight w:val="none"/>
          <w:lang w:val="en-US" w:eastAsia="zh-CN"/>
        </w:rPr>
        <w:t>3.4</w:t>
      </w:r>
      <w:r>
        <w:rPr>
          <w:rFonts w:hint="eastAsia" w:ascii="Times New Roman" w:hAnsi="Times New Roman" w:eastAsia="宋体"/>
          <w:b/>
          <w:bCs/>
          <w:color w:val="auto"/>
          <w:highlight w:val="none"/>
          <w:lang w:val="en-US" w:eastAsia="zh-CN"/>
        </w:rPr>
        <w:t>-1    矿体特征一览表</w:t>
      </w:r>
    </w:p>
    <w:tbl>
      <w:tblPr>
        <w:tblStyle w:val="35"/>
        <w:tblW w:w="8504" w:type="dxa"/>
        <w:tblInd w:w="194"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994"/>
        <w:gridCol w:w="712"/>
        <w:gridCol w:w="769"/>
        <w:gridCol w:w="803"/>
        <w:gridCol w:w="830"/>
        <w:gridCol w:w="739"/>
        <w:gridCol w:w="981"/>
        <w:gridCol w:w="842"/>
        <w:gridCol w:w="808"/>
        <w:gridCol w:w="4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矿体编号</w:t>
            </w:r>
          </w:p>
        </w:tc>
        <w:tc>
          <w:tcPr>
            <w:tcW w:w="994"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工业类型</w:t>
            </w:r>
          </w:p>
        </w:tc>
        <w:tc>
          <w:tcPr>
            <w:tcW w:w="1481" w:type="dxa"/>
            <w:gridSpan w:val="2"/>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产状</w:t>
            </w:r>
          </w:p>
        </w:tc>
        <w:tc>
          <w:tcPr>
            <w:tcW w:w="3353" w:type="dxa"/>
            <w:gridSpan w:val="4"/>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矿体规模</w:t>
            </w:r>
          </w:p>
        </w:tc>
        <w:tc>
          <w:tcPr>
            <w:tcW w:w="1650" w:type="dxa"/>
            <w:gridSpan w:val="2"/>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赋矿标高（m）</w:t>
            </w:r>
          </w:p>
        </w:tc>
        <w:tc>
          <w:tcPr>
            <w:tcW w:w="427"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c>
          <w:tcPr>
            <w:tcW w:w="994"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c>
          <w:tcPr>
            <w:tcW w:w="71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走向</w:t>
            </w:r>
          </w:p>
        </w:tc>
        <w:tc>
          <w:tcPr>
            <w:tcW w:w="76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倾向</w:t>
            </w:r>
          </w:p>
        </w:tc>
        <w:tc>
          <w:tcPr>
            <w:tcW w:w="8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倾角</w:t>
            </w:r>
          </w:p>
        </w:tc>
        <w:tc>
          <w:tcPr>
            <w:tcW w:w="83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长度</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（m）</w:t>
            </w:r>
          </w:p>
        </w:tc>
        <w:tc>
          <w:tcPr>
            <w:tcW w:w="73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宽度</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（m）</w:t>
            </w:r>
          </w:p>
        </w:tc>
        <w:tc>
          <w:tcPr>
            <w:tcW w:w="981"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平均厚度</w:t>
            </w:r>
          </w:p>
          <w:p>
            <w:pPr>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（m）</w:t>
            </w:r>
          </w:p>
        </w:tc>
        <w:tc>
          <w:tcPr>
            <w:tcW w:w="84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自</w:t>
            </w:r>
          </w:p>
        </w:tc>
        <w:tc>
          <w:tcPr>
            <w:tcW w:w="808"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至</w:t>
            </w:r>
          </w:p>
        </w:tc>
        <w:tc>
          <w:tcPr>
            <w:tcW w:w="427"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Ⅰ</w:t>
            </w:r>
          </w:p>
        </w:tc>
        <w:tc>
          <w:tcPr>
            <w:tcW w:w="994"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建筑用砂矿</w:t>
            </w:r>
          </w:p>
        </w:tc>
        <w:tc>
          <w:tcPr>
            <w:tcW w:w="71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东西</w:t>
            </w:r>
          </w:p>
        </w:tc>
        <w:tc>
          <w:tcPr>
            <w:tcW w:w="76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南</w:t>
            </w:r>
          </w:p>
        </w:tc>
        <w:tc>
          <w:tcPr>
            <w:tcW w:w="8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近水平</w:t>
            </w:r>
          </w:p>
        </w:tc>
        <w:tc>
          <w:tcPr>
            <w:tcW w:w="83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460</w:t>
            </w:r>
          </w:p>
        </w:tc>
        <w:tc>
          <w:tcPr>
            <w:tcW w:w="73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260</w:t>
            </w:r>
          </w:p>
        </w:tc>
        <w:tc>
          <w:tcPr>
            <w:tcW w:w="981"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6.98</w:t>
            </w:r>
          </w:p>
        </w:tc>
        <w:tc>
          <w:tcPr>
            <w:tcW w:w="84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1152.98</w:t>
            </w:r>
          </w:p>
        </w:tc>
        <w:tc>
          <w:tcPr>
            <w:tcW w:w="808"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1136</w:t>
            </w:r>
          </w:p>
        </w:tc>
        <w:tc>
          <w:tcPr>
            <w:tcW w:w="42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3" w:name="_Toc8222"/>
      <w:r>
        <w:rPr>
          <w:rFonts w:hint="eastAsia" w:ascii="Times New Roman" w:hAnsi="Times New Roman" w:eastAsia="宋体"/>
          <w:b/>
          <w:bCs w:val="0"/>
          <w:color w:val="auto"/>
          <w:sz w:val="28"/>
          <w:szCs w:val="28"/>
          <w:highlight w:val="none"/>
          <w:lang w:val="en-US" w:eastAsia="zh-CN"/>
        </w:rPr>
        <w:t>3.4.4 矿石质量</w:t>
      </w:r>
      <w:bookmarkEnd w:id="103"/>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1</w:t>
      </w:r>
      <w:r>
        <w:rPr>
          <w:rFonts w:hint="eastAsia" w:ascii="Times New Roman" w:hAnsi="Times New Roman" w:eastAsia="宋体"/>
          <w:color w:val="auto"/>
          <w:highlight w:val="none"/>
        </w:rPr>
        <w:t>）矿石物质组成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eastAsia="zh-CN"/>
        </w:rPr>
        <w:t>土黄色～灰白色</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主要由</w:t>
      </w:r>
      <w:r>
        <w:rPr>
          <w:rFonts w:hint="eastAsia" w:ascii="Times New Roman" w:hAnsi="Times New Roman" w:eastAsia="宋体"/>
          <w:color w:val="auto"/>
          <w:highlight w:val="none"/>
          <w:lang w:val="en-US" w:eastAsia="zh-CN"/>
        </w:rPr>
        <w:t>细砂</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val="en-US" w:eastAsia="zh-CN"/>
        </w:rPr>
        <w:t>砾石</w:t>
      </w:r>
      <w:r>
        <w:rPr>
          <w:rFonts w:hint="eastAsia" w:ascii="Times New Roman" w:hAnsi="Times New Roman" w:eastAsia="宋体"/>
          <w:color w:val="auto"/>
          <w:highlight w:val="none"/>
        </w:rPr>
        <w:t>组成，砾石成份复杂，多为</w:t>
      </w:r>
      <w:r>
        <w:rPr>
          <w:rFonts w:hint="eastAsia" w:ascii="Times New Roman" w:hAnsi="Times New Roman" w:eastAsia="宋体"/>
          <w:color w:val="auto"/>
          <w:highlight w:val="none"/>
          <w:lang w:val="en-US" w:eastAsia="zh-CN"/>
        </w:rPr>
        <w:t>岩石碎屑</w:t>
      </w:r>
      <w:r>
        <w:rPr>
          <w:rFonts w:hint="eastAsia" w:ascii="Times New Roman" w:hAnsi="Times New Roman" w:eastAsia="宋体"/>
          <w:color w:val="auto"/>
          <w:highlight w:val="none"/>
        </w:rPr>
        <w:t>。磨圆一般，呈次棱角状-次圆状，</w:t>
      </w:r>
      <w:r>
        <w:rPr>
          <w:rFonts w:hint="eastAsia" w:ascii="Times New Roman" w:hAnsi="Times New Roman" w:eastAsia="宋体"/>
          <w:color w:val="auto"/>
          <w:highlight w:val="none"/>
          <w:lang w:val="en-US" w:eastAsia="zh-CN"/>
        </w:rPr>
        <w:t>分选性好</w:t>
      </w:r>
      <w:r>
        <w:rPr>
          <w:rFonts w:hint="eastAsia" w:ascii="Times New Roman" w:hAnsi="Times New Roman" w:eastAsia="宋体"/>
          <w:color w:val="auto"/>
          <w:highlight w:val="none"/>
        </w:rPr>
        <w:t>，粒径0.</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1.0m</w:t>
      </w:r>
      <w:r>
        <w:rPr>
          <w:rFonts w:hint="eastAsia" w:ascii="Times New Roman" w:hAnsi="Times New Roman" w:eastAsia="宋体"/>
          <w:color w:val="auto"/>
          <w:highlight w:val="none"/>
        </w:rPr>
        <w:t>m不等</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砾石颜色以灰白色</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灰绿色</w:t>
      </w:r>
      <w:r>
        <w:rPr>
          <w:rFonts w:hint="eastAsia" w:ascii="Times New Roman" w:hAnsi="Times New Roman" w:eastAsia="宋体"/>
          <w:color w:val="auto"/>
          <w:highlight w:val="none"/>
        </w:rPr>
        <w:t>为主</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多呈椭圆状～圆状，大小约1-5cm不等</w:t>
      </w:r>
      <w:r>
        <w:rPr>
          <w:rFonts w:hint="eastAsia" w:ascii="Times New Roman" w:hAnsi="Times New Roman" w:eastAsia="宋体"/>
          <w:color w:val="auto"/>
          <w:highlight w:val="none"/>
        </w:rPr>
        <w:t>。地表少量</w:t>
      </w:r>
      <w:r>
        <w:rPr>
          <w:rFonts w:hint="eastAsia" w:ascii="Times New Roman" w:hAnsi="Times New Roman" w:eastAsia="宋体"/>
          <w:color w:val="auto"/>
          <w:highlight w:val="none"/>
          <w:lang w:val="en-US" w:eastAsia="zh-CN"/>
        </w:rPr>
        <w:t>灰黑色腐殖土</w:t>
      </w:r>
      <w:r>
        <w:rPr>
          <w:rFonts w:hint="eastAsia" w:ascii="Times New Roman" w:hAnsi="Times New Roman" w:eastAsia="宋体"/>
          <w:color w:val="auto"/>
          <w:highlight w:val="none"/>
        </w:rPr>
        <w:t>堆积，厚度</w:t>
      </w:r>
      <w:r>
        <w:rPr>
          <w:rFonts w:hint="eastAsia" w:ascii="Times New Roman" w:hAnsi="Times New Roman" w:eastAsia="宋体"/>
          <w:color w:val="auto"/>
          <w:highlight w:val="none"/>
          <w:lang w:val="en-US" w:eastAsia="zh-CN"/>
        </w:rPr>
        <w:t>0.3～0.5</w:t>
      </w:r>
      <w:r>
        <w:rPr>
          <w:rFonts w:hint="eastAsia" w:ascii="Times New Roman" w:hAnsi="Times New Roman" w:eastAsia="宋体"/>
          <w:color w:val="auto"/>
          <w:highlight w:val="none"/>
        </w:rPr>
        <w:t>m</w:t>
      </w:r>
      <w:r>
        <w:rPr>
          <w:rFonts w:hint="eastAsia" w:ascii="Times New Roman" w:hAnsi="Times New Roman" w:eastAsia="宋体"/>
          <w:color w:val="auto"/>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2</w:t>
      </w:r>
      <w:r>
        <w:rPr>
          <w:rFonts w:hint="eastAsia" w:ascii="Times New Roman" w:hAnsi="Times New Roman" w:eastAsia="宋体"/>
          <w:color w:val="auto"/>
          <w:highlight w:val="none"/>
          <w:lang w:eastAsia="zh-CN"/>
        </w:rPr>
        <w:t>）矿区</w:t>
      </w:r>
      <w:r>
        <w:rPr>
          <w:rFonts w:hint="eastAsia" w:ascii="Times New Roman" w:hAnsi="Times New Roman" w:eastAsia="宋体"/>
          <w:color w:val="auto"/>
          <w:highlight w:val="none"/>
        </w:rPr>
        <w:t>建筑用砂矿的主要化学成分为SiO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、Al</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O</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及有机质。其中SiO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含量约为90%以上。</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3</w:t>
      </w:r>
      <w:r>
        <w:rPr>
          <w:rFonts w:hint="eastAsia" w:ascii="Times New Roman" w:hAnsi="Times New Roman" w:eastAsia="宋体"/>
          <w:color w:val="auto"/>
          <w:highlight w:val="none"/>
        </w:rPr>
        <w:t>）结构和构造</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矿石结构以细粒碎屑结构为主，局部可见中粗粒碎屑结构。矿石分选及磨圆度较好。</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矿石主要</w:t>
      </w:r>
      <w:r>
        <w:rPr>
          <w:rFonts w:hint="eastAsia" w:ascii="Times New Roman" w:hAnsi="Times New Roman" w:eastAsia="宋体"/>
          <w:color w:val="auto"/>
          <w:highlight w:val="none"/>
          <w:lang w:val="en-US" w:eastAsia="zh-CN"/>
        </w:rPr>
        <w:t>呈</w:t>
      </w:r>
      <w:r>
        <w:rPr>
          <w:rFonts w:hint="eastAsia" w:ascii="Times New Roman" w:hAnsi="Times New Roman" w:eastAsia="宋体"/>
          <w:color w:val="auto"/>
          <w:highlight w:val="none"/>
        </w:rPr>
        <w:t>松散状</w:t>
      </w:r>
      <w:r>
        <w:rPr>
          <w:rFonts w:hint="eastAsia" w:ascii="Times New Roman" w:hAnsi="Times New Roman" w:eastAsia="宋体"/>
          <w:color w:val="auto"/>
          <w:highlight w:val="none"/>
          <w:lang w:val="en-US" w:eastAsia="zh-CN"/>
        </w:rPr>
        <w:t>未固结成岩</w:t>
      </w:r>
      <w:r>
        <w:rPr>
          <w:rFonts w:hint="eastAsia" w:ascii="Times New Roman" w:hAnsi="Times New Roman" w:eastAsia="宋体"/>
          <w:color w:val="auto"/>
          <w:highlight w:val="none"/>
        </w:rPr>
        <w:t>，在矿体内部偶见泥质构造。</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4</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矿石物性特征</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矿石</w:t>
      </w:r>
      <w:r>
        <w:rPr>
          <w:rFonts w:hint="eastAsia" w:ascii="Times New Roman" w:hAnsi="Times New Roman" w:eastAsia="宋体"/>
          <w:color w:val="FF0000"/>
          <w:highlight w:val="none"/>
          <w:lang w:eastAsia="zh-CN"/>
        </w:rPr>
        <w:t>物性特征经</w:t>
      </w:r>
      <w:r>
        <w:rPr>
          <w:rFonts w:hint="eastAsia" w:ascii="Times New Roman" w:hAnsi="Times New Roman" w:eastAsia="宋体"/>
          <w:color w:val="FF0000"/>
          <w:highlight w:val="none"/>
          <w:lang w:val="en-US" w:eastAsia="zh-CN"/>
        </w:rPr>
        <w:t>锡林郭勒盟科工建设工程质量检测中心</w:t>
      </w:r>
      <w:r>
        <w:rPr>
          <w:rFonts w:hint="eastAsia" w:ascii="Times New Roman" w:hAnsi="Times New Roman" w:eastAsia="宋体"/>
          <w:color w:val="FF0000"/>
          <w:highlight w:val="none"/>
          <w:lang w:eastAsia="zh-CN"/>
        </w:rPr>
        <w:t>测定，各项指标详见表</w:t>
      </w:r>
      <w:r>
        <w:rPr>
          <w:rFonts w:hint="eastAsia" w:eastAsia="宋体"/>
          <w:color w:val="FF0000"/>
          <w:highlight w:val="none"/>
          <w:lang w:val="en-US" w:eastAsia="zh-CN"/>
        </w:rPr>
        <w:t>3.4</w:t>
      </w:r>
      <w:r>
        <w:rPr>
          <w:rFonts w:hint="eastAsia" w:ascii="Times New Roman" w:hAnsi="Times New Roman" w:eastAsia="宋体"/>
          <w:color w:val="FF0000"/>
          <w:highlight w:val="none"/>
          <w:lang w:val="en-US" w:eastAsia="zh-CN"/>
        </w:rPr>
        <w:t>-2。</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lang w:val="en-US" w:eastAsia="zh-CN"/>
        </w:rPr>
      </w:pPr>
      <w:r>
        <w:rPr>
          <w:rFonts w:hint="eastAsia" w:ascii="Times New Roman" w:hAnsi="Times New Roman" w:eastAsia="宋体"/>
          <w:b/>
          <w:bCs/>
          <w:color w:val="FF0000"/>
          <w:highlight w:val="none"/>
          <w:lang w:val="en-US" w:eastAsia="zh-CN"/>
        </w:rPr>
        <w:t>表</w:t>
      </w:r>
      <w:r>
        <w:rPr>
          <w:rFonts w:hint="eastAsia" w:eastAsia="宋体"/>
          <w:b/>
          <w:bCs/>
          <w:color w:val="FF0000"/>
          <w:highlight w:val="none"/>
          <w:lang w:val="en-US" w:eastAsia="zh-CN"/>
        </w:rPr>
        <w:t>3.4</w:t>
      </w:r>
      <w:r>
        <w:rPr>
          <w:rFonts w:hint="eastAsia" w:ascii="Times New Roman" w:hAnsi="Times New Roman" w:eastAsia="宋体"/>
          <w:b/>
          <w:bCs/>
          <w:color w:val="FF0000"/>
          <w:highlight w:val="none"/>
          <w:lang w:val="en-US" w:eastAsia="zh-CN"/>
        </w:rPr>
        <w:t>-2  组合样品矿石物性特征一览表</w:t>
      </w:r>
    </w:p>
    <w:tbl>
      <w:tblPr>
        <w:tblStyle w:val="35"/>
        <w:tblW w:w="8411"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7"/>
        <w:gridCol w:w="2003"/>
        <w:gridCol w:w="29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检测项目</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检测值</w:t>
            </w:r>
          </w:p>
        </w:tc>
        <w:tc>
          <w:tcPr>
            <w:tcW w:w="2951"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备  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含泥量（%）</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2.4</w:t>
            </w:r>
          </w:p>
        </w:tc>
        <w:tc>
          <w:tcPr>
            <w:tcW w:w="2951"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样品经检验，按JGJ52-2006《普通混凝土用砂、石质量及检验方法标准》标准的规定，判该砂为细砂，符合Ⅲ区颗粒级配区，含泥量符合C55—C30等级混凝土的规定。</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泥块含量（%）</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0.8</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细度模数</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2.0</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级配区</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Ⅲ区</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堆积密度kg/m</w:t>
            </w:r>
            <w:r>
              <w:rPr>
                <w:rFonts w:hint="eastAsia" w:ascii="Times New Roman" w:hAnsi="Times New Roman" w:eastAsia="宋体"/>
                <w:color w:val="FF0000"/>
                <w:sz w:val="21"/>
                <w:szCs w:val="21"/>
                <w:highlight w:val="none"/>
                <w:vertAlign w:val="superscript"/>
                <w:lang w:val="en-US" w:eastAsia="zh-CN"/>
              </w:rPr>
              <w:t>3</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1510</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含水率（%）</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2.0</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吸水率（%）</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0.9</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104" w:name="_Toc9147"/>
      <w:r>
        <w:rPr>
          <w:rFonts w:hint="eastAsia" w:ascii="Times New Roman" w:hAnsi="Times New Roman" w:eastAsia="宋体"/>
          <w:b/>
          <w:bCs w:val="0"/>
          <w:color w:val="auto"/>
          <w:highlight w:val="none"/>
          <w:lang w:val="en-US" w:eastAsia="zh-CN"/>
        </w:rPr>
        <w:t>3.5  矿山开采方案</w:t>
      </w:r>
      <w:bookmarkEnd w:id="10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5" w:name="_Toc14501"/>
      <w:r>
        <w:rPr>
          <w:rFonts w:hint="eastAsia" w:ascii="Times New Roman" w:hAnsi="Times New Roman" w:eastAsia="宋体"/>
          <w:b/>
          <w:bCs w:val="0"/>
          <w:color w:val="auto"/>
          <w:sz w:val="28"/>
          <w:szCs w:val="28"/>
          <w:highlight w:val="none"/>
          <w:lang w:val="en-US" w:eastAsia="zh-CN"/>
        </w:rPr>
        <w:t>3.5.1 开采范围及开采方式</w:t>
      </w:r>
      <w:bookmarkEnd w:id="105"/>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3.5.1.1 开采范围</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 xml:space="preserve">    依据《内蒙古自治区苏尼特右旗巴润宝力格采砂场资源储量核实报告》，矿区开采范围为资源量估算范围，由18个拐点圈定，面积约0.0826km</w:t>
      </w:r>
      <w:r>
        <w:rPr>
          <w:rFonts w:hint="eastAsia" w:ascii="Times New Roman" w:hAnsi="Times New Roman" w:eastAsia="宋体"/>
          <w:b w:val="0"/>
          <w:bCs/>
          <w:color w:val="auto"/>
          <w:highlight w:val="none"/>
          <w:vertAlign w:val="superscript"/>
          <w:lang w:val="en-US" w:eastAsia="zh-CN"/>
        </w:rPr>
        <w:t>2</w:t>
      </w:r>
      <w:r>
        <w:rPr>
          <w:rFonts w:hint="eastAsia" w:ascii="Times New Roman" w:hAnsi="Times New Roman" w:eastAsia="宋体"/>
          <w:b w:val="0"/>
          <w:bCs/>
          <w:color w:val="auto"/>
          <w:highlight w:val="none"/>
          <w:lang w:val="en-US" w:eastAsia="zh-CN"/>
        </w:rPr>
        <w:t>，开采深度由11</w:t>
      </w:r>
      <w:r>
        <w:rPr>
          <w:rFonts w:hint="eastAsia" w:eastAsia="宋体"/>
          <w:b w:val="0"/>
          <w:bCs/>
          <w:color w:val="auto"/>
          <w:highlight w:val="none"/>
          <w:lang w:val="en-US" w:eastAsia="zh-CN"/>
        </w:rPr>
        <w:t>52.98</w:t>
      </w:r>
      <w:r>
        <w:rPr>
          <w:rFonts w:hint="eastAsia" w:ascii="Times New Roman" w:hAnsi="Times New Roman" w:eastAsia="宋体"/>
          <w:b w:val="0"/>
          <w:bCs/>
          <w:color w:val="auto"/>
          <w:highlight w:val="none"/>
          <w:lang w:val="en-US" w:eastAsia="zh-CN"/>
        </w:rPr>
        <w:t>～1136.00m。资源储量估算范围拐点坐标见表</w:t>
      </w:r>
      <w:r>
        <w:rPr>
          <w:rFonts w:hint="eastAsia" w:eastAsia="宋体"/>
          <w:b w:val="0"/>
          <w:bCs/>
          <w:color w:val="auto"/>
          <w:highlight w:val="none"/>
          <w:lang w:val="en-US" w:eastAsia="zh-CN"/>
        </w:rPr>
        <w:t>3.5</w:t>
      </w:r>
      <w:r>
        <w:rPr>
          <w:rFonts w:hint="eastAsia" w:ascii="Times New Roman" w:hAnsi="Times New Roman" w:eastAsia="宋体"/>
          <w:b w:val="0"/>
          <w:bCs/>
          <w:color w:val="auto"/>
          <w:highlight w:val="none"/>
          <w:lang w:val="en-US" w:eastAsia="zh-CN"/>
        </w:rPr>
        <w:t>-1。</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表</w:t>
      </w:r>
      <w:r>
        <w:rPr>
          <w:rFonts w:hint="eastAsia" w:eastAsia="宋体"/>
          <w:b/>
          <w:bCs w:val="0"/>
          <w:color w:val="auto"/>
          <w:highlight w:val="none"/>
          <w:lang w:val="en-US" w:eastAsia="zh-CN"/>
        </w:rPr>
        <w:t>3.5</w:t>
      </w:r>
      <w:r>
        <w:rPr>
          <w:rFonts w:hint="eastAsia" w:ascii="Times New Roman" w:hAnsi="Times New Roman" w:eastAsia="宋体"/>
          <w:b/>
          <w:bCs w:val="0"/>
          <w:color w:val="auto"/>
          <w:highlight w:val="none"/>
          <w:lang w:val="en-US" w:eastAsia="zh-CN"/>
        </w:rPr>
        <w:t>-1  资源储量估算范围及拐点坐标表</w:t>
      </w:r>
    </w:p>
    <w:tbl>
      <w:tblPr>
        <w:tblStyle w:val="35"/>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302"/>
        <w:gridCol w:w="3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7" w:type="dxa"/>
            <w:vMerge w:val="restart"/>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拐点</w:t>
            </w:r>
          </w:p>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编号</w:t>
            </w:r>
          </w:p>
        </w:tc>
        <w:tc>
          <w:tcPr>
            <w:tcW w:w="5309" w:type="dxa"/>
            <w:gridSpan w:val="2"/>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2000国家大地坐标系（6°带）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787" w:type="dxa"/>
            <w:vMerge w:val="continue"/>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p>
        </w:tc>
        <w:tc>
          <w:tcPr>
            <w:tcW w:w="2302"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X</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Y</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4705656.915</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19653091.245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4705656.883</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19653121.910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3</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4705647.778</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19653321.991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4705675.541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19653351.586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5</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4705675.359</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19653547.605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6</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4705416.371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19653554.591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7</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4705416.595</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19653521.784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8</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4705420.346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19653452.936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9</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4705448.526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19653418.770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10</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4705463.991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19653376.668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11</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4705497.177</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19653379.207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12</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4705516.841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19653372.772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13</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4705544.676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19653347.872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14</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4705543.704</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19653299.039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15</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4705506.14</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19653280.689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16</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4705504.256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19653210.789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17</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4705508.978</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19653121.827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18</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4705513.824</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19653088.457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096" w:type="dxa"/>
            <w:gridSpan w:val="3"/>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估算面积：0.0826km</w:t>
            </w:r>
            <w:r>
              <w:rPr>
                <w:rFonts w:hint="eastAsia" w:ascii="Times New Roman" w:hAnsi="Times New Roman" w:eastAsia="宋体"/>
                <w:b w:val="0"/>
                <w:bCs/>
                <w:color w:val="auto"/>
                <w:sz w:val="21"/>
                <w:szCs w:val="21"/>
                <w:highlight w:val="none"/>
                <w:vertAlign w:val="superscript"/>
                <w:lang w:val="en-US" w:eastAsia="zh-CN"/>
              </w:rPr>
              <w:t>2</w:t>
            </w:r>
            <w:r>
              <w:rPr>
                <w:rFonts w:hint="eastAsia" w:ascii="Times New Roman" w:hAnsi="Times New Roman" w:eastAsia="宋体"/>
                <w:b w:val="0"/>
                <w:bCs/>
                <w:color w:val="auto"/>
                <w:sz w:val="21"/>
                <w:szCs w:val="21"/>
                <w:highlight w:val="none"/>
                <w:lang w:val="en-US" w:eastAsia="zh-CN"/>
              </w:rPr>
              <w:t>，估算标高：</w:t>
            </w:r>
            <w:r>
              <w:rPr>
                <w:rFonts w:hint="eastAsia" w:eastAsia="宋体"/>
                <w:b w:val="0"/>
                <w:bCs/>
                <w:color w:val="FF0000"/>
                <w:sz w:val="21"/>
                <w:szCs w:val="21"/>
                <w:highlight w:val="none"/>
                <w:lang w:val="en-US" w:eastAsia="zh-CN"/>
              </w:rPr>
              <w:t>1152.98</w:t>
            </w:r>
            <w:r>
              <w:rPr>
                <w:rFonts w:hint="eastAsia" w:ascii="Times New Roman" w:hAnsi="Times New Roman" w:eastAsia="宋体"/>
                <w:b w:val="0"/>
                <w:bCs/>
                <w:color w:val="FF0000"/>
                <w:sz w:val="21"/>
                <w:szCs w:val="21"/>
                <w:highlight w:val="none"/>
                <w:lang w:val="en-US" w:eastAsia="zh-CN"/>
              </w:rPr>
              <w:t>～1136（m）</w:t>
            </w:r>
          </w:p>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开采标高：1146～1136（m）</w:t>
            </w:r>
          </w:p>
        </w:tc>
      </w:tr>
    </w:tbl>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3.5.1.2 开采方式</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 xml:space="preserve">    根据采矿证批准的开采方式，设计</w:t>
      </w:r>
      <w:r>
        <w:rPr>
          <w:rFonts w:hint="eastAsia" w:ascii="Times New Roman" w:hAnsi="Times New Roman" w:eastAsia="宋体"/>
          <w:b w:val="0"/>
          <w:bCs/>
          <w:color w:val="FF0000"/>
          <w:highlight w:val="none"/>
          <w:lang w:val="en-US" w:eastAsia="zh-CN"/>
        </w:rPr>
        <w:t>采用开采方式</w:t>
      </w:r>
      <w:r>
        <w:rPr>
          <w:rFonts w:hint="eastAsia" w:eastAsia="宋体"/>
          <w:b w:val="0"/>
          <w:bCs/>
          <w:color w:val="FF0000"/>
          <w:highlight w:val="none"/>
          <w:lang w:val="en-US" w:eastAsia="zh-CN"/>
        </w:rPr>
        <w:t>为露天开采</w:t>
      </w:r>
      <w:r>
        <w:rPr>
          <w:rFonts w:hint="eastAsia" w:ascii="Times New Roman" w:hAnsi="Times New Roman" w:eastAsia="宋体"/>
          <w:b w:val="0"/>
          <w:bCs/>
          <w:color w:val="FF0000"/>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6" w:name="_Toc150"/>
      <w:r>
        <w:rPr>
          <w:rFonts w:hint="eastAsia" w:ascii="Times New Roman" w:hAnsi="Times New Roman" w:eastAsia="宋体"/>
          <w:b/>
          <w:bCs w:val="0"/>
          <w:color w:val="auto"/>
          <w:sz w:val="28"/>
          <w:szCs w:val="28"/>
          <w:highlight w:val="none"/>
          <w:lang w:val="en-US" w:eastAsia="zh-CN"/>
        </w:rPr>
        <w:t>3.5.2 矿床开发总体规划</w:t>
      </w:r>
      <w:bookmarkEnd w:id="106"/>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矿区内共圈定出矿体1层，编号为Ⅰ号矿体。该矿体呈层状-厚层状赋存于第四系全新统之中，控制矿体东西长约460m，南北宽约260m，矿体平均厚度6.98m；矿体产状走向呈近东西向展布，近水平状产出，赋矿标高1146.00～1136.00m。本着开采便利、资源利用最大化、环境破坏最小化和施工循序渐进原则，对矿区范围内1136.00m标高以上矿层进行全部开采；根据矿山地形地质条件、矿体赋存状态，推荐开采范围1146.00～1136.00m标高的矿体均采用露天开采。</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FF0000"/>
          <w:highlight w:val="none"/>
          <w:lang w:val="en-US" w:eastAsia="zh-CN"/>
        </w:rPr>
      </w:pPr>
      <w:r>
        <w:rPr>
          <w:rFonts w:hint="eastAsia" w:ascii="Times New Roman" w:hAnsi="Times New Roman" w:eastAsia="宋体"/>
          <w:b w:val="0"/>
          <w:bCs/>
          <w:color w:val="FF0000"/>
          <w:highlight w:val="none"/>
          <w:lang w:val="en-US" w:eastAsia="zh-CN"/>
        </w:rPr>
        <w:t>因矿区北东侧地表标高高于采矿许可证开采标高，矿证内存在资源储量压覆问题，本方案首先规划对矿区内未被压覆的矿体进行开采，未被压覆的矿体保有推断的内蕴经济资源量（333）矿石量22.17×10</w:t>
      </w:r>
      <w:r>
        <w:rPr>
          <w:rFonts w:hint="eastAsia" w:ascii="Times New Roman" w:hAnsi="Times New Roman" w:eastAsia="宋体"/>
          <w:b w:val="0"/>
          <w:bCs/>
          <w:color w:val="FF0000"/>
          <w:highlight w:val="none"/>
          <w:vertAlign w:val="superscript"/>
          <w:lang w:val="en-US" w:eastAsia="zh-CN"/>
        </w:rPr>
        <w:t>4</w:t>
      </w:r>
      <w:r>
        <w:rPr>
          <w:rFonts w:hint="eastAsia" w:ascii="Times New Roman" w:hAnsi="Times New Roman" w:eastAsia="宋体"/>
          <w:b w:val="0"/>
          <w:bCs/>
          <w:color w:val="FF0000"/>
          <w:highlight w:val="none"/>
          <w:lang w:val="en-US" w:eastAsia="zh-CN"/>
        </w:rPr>
        <w:t>m</w:t>
      </w:r>
      <w:r>
        <w:rPr>
          <w:rFonts w:hint="eastAsia" w:ascii="Times New Roman" w:hAnsi="Times New Roman" w:eastAsia="宋体"/>
          <w:b w:val="0"/>
          <w:bCs/>
          <w:color w:val="FF0000"/>
          <w:highlight w:val="none"/>
          <w:vertAlign w:val="superscript"/>
          <w:lang w:val="en-US" w:eastAsia="zh-CN"/>
        </w:rPr>
        <w:t>3</w:t>
      </w:r>
      <w:r>
        <w:rPr>
          <w:rFonts w:hint="eastAsia" w:ascii="Times New Roman" w:hAnsi="Times New Roman" w:eastAsia="宋体"/>
          <w:b w:val="0"/>
          <w:bCs/>
          <w:color w:val="FF0000"/>
          <w:highlight w:val="none"/>
          <w:lang w:val="en-US" w:eastAsia="zh-CN"/>
        </w:rPr>
        <w:t>，将其设为首采区，待首采区内资源储量消耗完后，对矿区的开采标高进行变更，变更后对采矿许可证内压覆的区域的矿体进行开采。</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7" w:name="_Toc8936"/>
      <w:r>
        <w:rPr>
          <w:rFonts w:hint="eastAsia" w:ascii="Times New Roman" w:hAnsi="Times New Roman" w:eastAsia="宋体"/>
          <w:b/>
          <w:bCs w:val="0"/>
          <w:color w:val="auto"/>
          <w:sz w:val="28"/>
          <w:szCs w:val="28"/>
          <w:highlight w:val="none"/>
          <w:lang w:val="en-US" w:eastAsia="zh-CN"/>
        </w:rPr>
        <w:t>3.5.</w:t>
      </w:r>
      <w:r>
        <w:rPr>
          <w:rFonts w:hint="eastAsia" w:eastAsia="宋体"/>
          <w:b/>
          <w:bCs w:val="0"/>
          <w:color w:val="auto"/>
          <w:sz w:val="28"/>
          <w:szCs w:val="28"/>
          <w:highlight w:val="none"/>
          <w:lang w:val="en-US" w:eastAsia="zh-CN"/>
        </w:rPr>
        <w:t>3</w:t>
      </w:r>
      <w:r>
        <w:rPr>
          <w:rFonts w:hint="eastAsia" w:ascii="Times New Roman" w:hAnsi="Times New Roman" w:eastAsia="宋体"/>
          <w:b/>
          <w:bCs w:val="0"/>
          <w:color w:val="auto"/>
          <w:sz w:val="28"/>
          <w:szCs w:val="28"/>
          <w:highlight w:val="none"/>
          <w:lang w:val="en-US" w:eastAsia="zh-CN"/>
        </w:rPr>
        <w:t xml:space="preserve"> 开拓运输方案选择</w:t>
      </w:r>
      <w:bookmarkEnd w:id="107"/>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矿山在生产时不需要爆破采坑，剥离后直接进行开采，矿山开采需开采两个台阶，故矿山可边开采边治理。根据矿山地形条件、矿体赋存状态及内外部运输条件，露天开采相对高差约</w:t>
      </w:r>
      <w:r>
        <w:rPr>
          <w:rFonts w:hint="eastAsia" w:eastAsia="宋体"/>
          <w:b w:val="0"/>
          <w:bCs/>
          <w:color w:val="auto"/>
          <w:highlight w:val="none"/>
          <w:lang w:val="en-US" w:eastAsia="zh-CN"/>
        </w:rPr>
        <w:t>17</w:t>
      </w:r>
      <w:r>
        <w:rPr>
          <w:rFonts w:hint="eastAsia" w:ascii="Times New Roman" w:hAnsi="Times New Roman" w:eastAsia="宋体"/>
          <w:b w:val="0"/>
          <w:bCs/>
          <w:color w:val="auto"/>
          <w:highlight w:val="none"/>
          <w:lang w:val="en-US" w:eastAsia="zh-CN"/>
        </w:rPr>
        <w:t>m，开采矿体最大深度约</w:t>
      </w:r>
      <w:r>
        <w:rPr>
          <w:rFonts w:hint="eastAsia" w:eastAsia="宋体"/>
          <w:b w:val="0"/>
          <w:bCs/>
          <w:color w:val="auto"/>
          <w:highlight w:val="none"/>
          <w:lang w:val="en-US" w:eastAsia="zh-CN"/>
        </w:rPr>
        <w:t>17</w:t>
      </w:r>
      <w:r>
        <w:rPr>
          <w:rFonts w:hint="eastAsia" w:ascii="Times New Roman" w:hAnsi="Times New Roman" w:eastAsia="宋体"/>
          <w:b w:val="0"/>
          <w:bCs/>
          <w:color w:val="auto"/>
          <w:highlight w:val="none"/>
          <w:lang w:val="en-US" w:eastAsia="zh-CN"/>
        </w:rPr>
        <w:t>m，矿石运输距离均在1.0km之内，考虑到汽车运输的方便灵活性，推荐采用公路开拓-汽车运输方案，采用直进式布置；开拓运输道路宽</w:t>
      </w:r>
      <w:r>
        <w:rPr>
          <w:rFonts w:hint="eastAsia" w:eastAsia="宋体"/>
          <w:b w:val="0"/>
          <w:bCs/>
          <w:color w:val="auto"/>
          <w:highlight w:val="none"/>
          <w:lang w:val="en-US" w:eastAsia="zh-CN"/>
        </w:rPr>
        <w:t>（</w:t>
      </w:r>
      <w:r>
        <w:rPr>
          <w:rFonts w:hint="eastAsia" w:ascii="Times New Roman" w:hAnsi="Times New Roman" w:eastAsia="宋体"/>
          <w:b w:val="0"/>
          <w:bCs/>
          <w:color w:val="auto"/>
          <w:highlight w:val="none"/>
          <w:lang w:val="en-US" w:eastAsia="zh-CN"/>
        </w:rPr>
        <w:t>双车道</w:t>
      </w:r>
      <w:r>
        <w:rPr>
          <w:rFonts w:hint="eastAsia" w:eastAsia="宋体"/>
          <w:b w:val="0"/>
          <w:bCs/>
          <w:color w:val="auto"/>
          <w:highlight w:val="none"/>
          <w:lang w:val="en-US" w:eastAsia="zh-CN"/>
        </w:rPr>
        <w:t>）</w:t>
      </w:r>
      <w:r>
        <w:rPr>
          <w:rFonts w:hint="eastAsia" w:ascii="Times New Roman" w:hAnsi="Times New Roman" w:eastAsia="宋体"/>
          <w:b w:val="0"/>
          <w:bCs/>
          <w:color w:val="auto"/>
          <w:highlight w:val="none"/>
          <w:lang w:val="en-US" w:eastAsia="zh-CN"/>
        </w:rPr>
        <w:t>10.5m，公路纵坡坡度8%。</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FF0000"/>
          <w:highlight w:val="none"/>
          <w:lang w:val="en-US" w:eastAsia="zh-CN"/>
        </w:rPr>
      </w:pPr>
      <w:r>
        <w:rPr>
          <w:rFonts w:hint="eastAsia" w:ascii="Times New Roman" w:hAnsi="Times New Roman" w:eastAsia="宋体"/>
          <w:b w:val="0"/>
          <w:bCs/>
          <w:color w:val="FF0000"/>
          <w:highlight w:val="none"/>
          <w:lang w:val="en-US" w:eastAsia="zh-CN"/>
        </w:rPr>
        <w:t>露天采场内最高标高11</w:t>
      </w:r>
      <w:r>
        <w:rPr>
          <w:rFonts w:hint="eastAsia" w:eastAsia="宋体"/>
          <w:b w:val="0"/>
          <w:bCs/>
          <w:color w:val="FF0000"/>
          <w:highlight w:val="none"/>
          <w:lang w:val="en-US" w:eastAsia="zh-CN"/>
        </w:rPr>
        <w:t>52.98</w:t>
      </w:r>
      <w:r>
        <w:rPr>
          <w:rFonts w:hint="eastAsia" w:ascii="Times New Roman" w:hAnsi="Times New Roman" w:eastAsia="宋体"/>
          <w:b w:val="0"/>
          <w:bCs/>
          <w:color w:val="FF0000"/>
          <w:highlight w:val="none"/>
          <w:lang w:val="en-US" w:eastAsia="zh-CN"/>
        </w:rPr>
        <w:t>.0m，最低1136.00m，相对标高约</w:t>
      </w:r>
      <w:r>
        <w:rPr>
          <w:rFonts w:hint="eastAsia" w:eastAsia="宋体"/>
          <w:b w:val="0"/>
          <w:bCs/>
          <w:color w:val="FF0000"/>
          <w:highlight w:val="none"/>
          <w:lang w:val="en-US" w:eastAsia="zh-CN"/>
        </w:rPr>
        <w:t>17</w:t>
      </w:r>
      <w:r>
        <w:rPr>
          <w:rFonts w:hint="eastAsia" w:ascii="Times New Roman" w:hAnsi="Times New Roman" w:eastAsia="宋体"/>
          <w:b w:val="0"/>
          <w:bCs/>
          <w:color w:val="FF0000"/>
          <w:highlight w:val="none"/>
          <w:lang w:val="en-US" w:eastAsia="zh-CN"/>
        </w:rPr>
        <w:t>m，开采最大深度10m，共划分</w:t>
      </w:r>
      <w:r>
        <w:rPr>
          <w:rFonts w:hint="eastAsia" w:eastAsia="宋体"/>
          <w:b w:val="0"/>
          <w:bCs/>
          <w:color w:val="FF0000"/>
          <w:highlight w:val="none"/>
          <w:lang w:val="en-US" w:eastAsia="zh-CN"/>
        </w:rPr>
        <w:t>2</w:t>
      </w:r>
      <w:r>
        <w:rPr>
          <w:rFonts w:hint="eastAsia" w:ascii="Times New Roman" w:hAnsi="Times New Roman" w:eastAsia="宋体"/>
          <w:b w:val="0"/>
          <w:bCs/>
          <w:color w:val="FF0000"/>
          <w:highlight w:val="none"/>
          <w:lang w:val="en-US" w:eastAsia="zh-CN"/>
        </w:rPr>
        <w:t>个台阶开采，台阶高度10m。采出的建筑用砂由装载机装入自卸汽车，运往加工厂地</w:t>
      </w:r>
      <w:r>
        <w:rPr>
          <w:rFonts w:hint="eastAsia" w:eastAsia="宋体"/>
          <w:b w:val="0"/>
          <w:bCs/>
          <w:color w:val="FF0000"/>
          <w:highlight w:val="none"/>
          <w:lang w:val="en-US" w:eastAsia="zh-CN"/>
        </w:rPr>
        <w:t>或出售</w:t>
      </w:r>
      <w:r>
        <w:rPr>
          <w:rFonts w:hint="eastAsia" w:ascii="Times New Roman" w:hAnsi="Times New Roman" w:eastAsia="宋体"/>
          <w:b w:val="0"/>
          <w:bCs/>
          <w:color w:val="FF0000"/>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8" w:name="_Toc25328"/>
      <w:r>
        <w:rPr>
          <w:rFonts w:hint="eastAsia" w:ascii="Times New Roman" w:hAnsi="Times New Roman" w:eastAsia="宋体"/>
          <w:b/>
          <w:bCs w:val="0"/>
          <w:color w:val="auto"/>
          <w:sz w:val="28"/>
          <w:szCs w:val="28"/>
          <w:highlight w:val="none"/>
          <w:lang w:val="en-US" w:eastAsia="zh-CN"/>
        </w:rPr>
        <w:t>3.5.</w:t>
      </w:r>
      <w:r>
        <w:rPr>
          <w:rFonts w:hint="eastAsia" w:eastAsia="宋体"/>
          <w:b/>
          <w:bCs w:val="0"/>
          <w:color w:val="auto"/>
          <w:sz w:val="28"/>
          <w:szCs w:val="28"/>
          <w:highlight w:val="none"/>
          <w:lang w:val="en-US" w:eastAsia="zh-CN"/>
        </w:rPr>
        <w:t>4</w:t>
      </w:r>
      <w:r>
        <w:rPr>
          <w:rFonts w:hint="eastAsia" w:ascii="Times New Roman" w:hAnsi="Times New Roman" w:eastAsia="宋体"/>
          <w:b/>
          <w:bCs w:val="0"/>
          <w:color w:val="auto"/>
          <w:sz w:val="28"/>
          <w:szCs w:val="28"/>
          <w:highlight w:val="none"/>
          <w:lang w:val="en-US" w:eastAsia="zh-CN"/>
        </w:rPr>
        <w:t xml:space="preserve"> 露天采场最终边坡要素</w:t>
      </w:r>
      <w:bookmarkEnd w:id="108"/>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（1）</w:t>
      </w:r>
      <w:r>
        <w:rPr>
          <w:rFonts w:hint="eastAsia" w:ascii="Times New Roman" w:hAnsi="Times New Roman" w:eastAsia="宋体"/>
          <w:b w:val="0"/>
          <w:bCs/>
          <w:color w:val="auto"/>
          <w:highlight w:val="none"/>
          <w:lang w:val="en-US" w:eastAsia="zh-CN"/>
        </w:rPr>
        <w:t>最终边坡角</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最终边坡角是根据最大边坡高度、围岩性质、地质构造及水文地质条件等，并综合考虑其它安全因素来确定。根据地质报告，矿区内组成矿层的岩性为为灰黑色、褐色腐殖土、砂壤土、中细砂层及粉细砂层，区内地形地貌条件简单，未见断层及破碎带。矿区最终边坡最大高度约为10m。参考《采矿设计手册》，结合类似矿山资料，选取的最终边坡角为45°左右。</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（2）</w:t>
      </w:r>
      <w:r>
        <w:rPr>
          <w:rFonts w:hint="eastAsia" w:ascii="Times New Roman" w:hAnsi="Times New Roman" w:eastAsia="宋体"/>
          <w:b w:val="0"/>
          <w:bCs/>
          <w:color w:val="auto"/>
          <w:highlight w:val="none"/>
          <w:lang w:val="en-US" w:eastAsia="zh-CN"/>
        </w:rPr>
        <w:t>台阶高度</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根据矿山矿岩性质及《金属非金属矿山安全规程》第5.2.1.1条规定，台阶高度不超过最大挖掘高度的1.5倍，参照类似矿山台阶高度及可能采用的采、剥设备，确定本矿山露天开采台阶高度为10m。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（3）</w:t>
      </w:r>
      <w:r>
        <w:rPr>
          <w:rFonts w:hint="eastAsia" w:ascii="Times New Roman" w:hAnsi="Times New Roman" w:eastAsia="宋体"/>
          <w:b w:val="0"/>
          <w:bCs/>
          <w:color w:val="auto"/>
          <w:highlight w:val="none"/>
          <w:lang w:val="en-US" w:eastAsia="zh-CN"/>
        </w:rPr>
        <w:t>台阶坡面角</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矿区内矿体倾角较缓，呈近水平，构造简单，对露天矿的边坡稳定性十分有利。为保证边坡的稳定，根据矿岩物理力学性质，台阶坡面角确定为45°。</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9" w:name="_Toc11667"/>
      <w:r>
        <w:rPr>
          <w:rFonts w:hint="eastAsia" w:ascii="Times New Roman" w:hAnsi="Times New Roman" w:eastAsia="宋体"/>
          <w:b/>
          <w:bCs w:val="0"/>
          <w:color w:val="auto"/>
          <w:sz w:val="28"/>
          <w:szCs w:val="28"/>
          <w:highlight w:val="none"/>
          <w:lang w:val="en-US" w:eastAsia="zh-CN"/>
        </w:rPr>
        <w:t>3.5.</w:t>
      </w:r>
      <w:r>
        <w:rPr>
          <w:rFonts w:hint="eastAsia" w:eastAsia="宋体"/>
          <w:b/>
          <w:bCs w:val="0"/>
          <w:color w:val="auto"/>
          <w:sz w:val="28"/>
          <w:szCs w:val="28"/>
          <w:highlight w:val="none"/>
          <w:lang w:val="en-US" w:eastAsia="zh-CN"/>
        </w:rPr>
        <w:t>5</w:t>
      </w:r>
      <w:r>
        <w:rPr>
          <w:rFonts w:hint="eastAsia" w:ascii="Times New Roman" w:hAnsi="Times New Roman" w:eastAsia="宋体"/>
          <w:b/>
          <w:bCs w:val="0"/>
          <w:color w:val="auto"/>
          <w:sz w:val="28"/>
          <w:szCs w:val="28"/>
          <w:highlight w:val="none"/>
          <w:lang w:val="en-US" w:eastAsia="zh-CN"/>
        </w:rPr>
        <w:t xml:space="preserve"> 采场最小底宽</w:t>
      </w:r>
      <w:bookmarkEnd w:id="109"/>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 xml:space="preserve">    </w:t>
      </w:r>
      <w:bookmarkStart w:id="110" w:name="_Hlk499022484"/>
      <w:r>
        <w:rPr>
          <w:rFonts w:hint="eastAsia" w:ascii="Times New Roman" w:hAnsi="Times New Roman" w:eastAsia="宋体"/>
          <w:b w:val="0"/>
          <w:bCs/>
          <w:color w:val="auto"/>
          <w:highlight w:val="none"/>
          <w:lang w:val="en-US" w:eastAsia="zh-CN"/>
        </w:rPr>
        <w:t>露天采场底部最小宽度按采装和运输设备规格确定，设计采用25t自卸汽车运输，依据公式：</w:t>
      </w:r>
    </w:p>
    <w:bookmarkEnd w:id="110"/>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B</w:t>
      </w:r>
      <w:r>
        <w:rPr>
          <w:rFonts w:hint="eastAsia" w:ascii="Times New Roman" w:hAnsi="Times New Roman" w:eastAsia="宋体"/>
          <w:b w:val="0"/>
          <w:bCs/>
          <w:color w:val="auto"/>
          <w:highlight w:val="none"/>
          <w:vertAlign w:val="subscript"/>
          <w:lang w:val="en-US" w:eastAsia="zh-CN"/>
        </w:rPr>
        <w:t>min</w:t>
      </w:r>
      <w:r>
        <w:rPr>
          <w:rFonts w:hint="eastAsia" w:ascii="Times New Roman" w:hAnsi="Times New Roman" w:eastAsia="宋体"/>
          <w:b w:val="0"/>
          <w:bCs/>
          <w:color w:val="auto"/>
          <w:highlight w:val="none"/>
          <w:lang w:val="en-US" w:eastAsia="zh-CN"/>
        </w:rPr>
        <w:t>=2(R</w:t>
      </w:r>
      <w:r>
        <w:rPr>
          <w:rFonts w:hint="eastAsia" w:ascii="Times New Roman" w:hAnsi="Times New Roman" w:eastAsia="宋体"/>
          <w:b w:val="0"/>
          <w:bCs/>
          <w:color w:val="auto"/>
          <w:highlight w:val="none"/>
          <w:vertAlign w:val="subscript"/>
          <w:lang w:val="en-US" w:eastAsia="zh-CN"/>
        </w:rPr>
        <w:t>min</w:t>
      </w:r>
      <w:r>
        <w:rPr>
          <w:rFonts w:hint="eastAsia" w:ascii="Times New Roman" w:hAnsi="Times New Roman" w:eastAsia="宋体"/>
          <w:b w:val="0"/>
          <w:bCs/>
          <w:color w:val="auto"/>
          <w:highlight w:val="none"/>
          <w:lang w:val="en-US" w:eastAsia="zh-CN"/>
        </w:rPr>
        <w:t>+0.5T+E)=2×(12+0.5×3+1.5)=30m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式中，Bmin—露天采场最小底宽，m；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720" w:firstLineChars="3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Rmin—汽车最小转弯半径，m；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720" w:firstLineChars="3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T—运输设备最大宽度，m；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720" w:firstLineChars="3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E—铲装、运输设备和阶段坡面三者之间的安全间隙，0.5m。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default"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经计算，确定露天采场最小底宽为30m。</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11" w:name="_Toc28263"/>
      <w:r>
        <w:rPr>
          <w:rFonts w:hint="eastAsia" w:ascii="Times New Roman" w:hAnsi="Times New Roman" w:eastAsia="宋体"/>
          <w:b/>
          <w:bCs w:val="0"/>
          <w:color w:val="auto"/>
          <w:highlight w:val="none"/>
          <w:lang w:val="en-US" w:eastAsia="zh-CN"/>
        </w:rPr>
        <w:t>3.6 项目工程分析</w:t>
      </w:r>
      <w:bookmarkEnd w:id="111"/>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12" w:name="_Toc18146"/>
      <w:r>
        <w:rPr>
          <w:rFonts w:hint="eastAsia" w:ascii="Times New Roman" w:hAnsi="Times New Roman" w:eastAsia="宋体"/>
          <w:b/>
          <w:bCs w:val="0"/>
          <w:color w:val="auto"/>
          <w:sz w:val="28"/>
          <w:szCs w:val="28"/>
          <w:highlight w:val="none"/>
          <w:lang w:val="en-US" w:eastAsia="zh-CN"/>
        </w:rPr>
        <w:t>3.6.1 施工期污染源强分析</w:t>
      </w:r>
      <w:bookmarkEnd w:id="112"/>
      <w:bookmarkStart w:id="113" w:name="2.5.1.1工艺流程及产污环节分析"/>
      <w:bookmarkEnd w:id="113"/>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 xml:space="preserve">.1.1 工艺流程及产污环节分析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本项目依托现有部分设施，施工期主要建设</w:t>
      </w:r>
      <w:r>
        <w:rPr>
          <w:rFonts w:hint="eastAsia" w:ascii="Times New Roman" w:hAnsi="Times New Roman" w:eastAsia="宋体"/>
          <w:color w:val="FF0000"/>
          <w:highlight w:val="none"/>
        </w:rPr>
        <w:t>内容为</w:t>
      </w:r>
      <w:r>
        <w:rPr>
          <w:rFonts w:hint="eastAsia" w:eastAsia="宋体"/>
          <w:color w:val="FF0000"/>
          <w:highlight w:val="none"/>
          <w:lang w:val="en-US" w:eastAsia="zh-CN"/>
        </w:rPr>
        <w:t>生活区、沉淀池</w:t>
      </w:r>
      <w:r>
        <w:rPr>
          <w:rFonts w:hint="eastAsia" w:ascii="Times New Roman" w:hAnsi="Times New Roman" w:eastAsia="宋体"/>
          <w:color w:val="auto"/>
          <w:highlight w:val="none"/>
        </w:rPr>
        <w:t>建设</w:t>
      </w:r>
      <w:r>
        <w:rPr>
          <w:rFonts w:hint="eastAsia" w:eastAsia="宋体"/>
          <w:color w:val="auto"/>
          <w:highlight w:val="none"/>
          <w:lang w:eastAsia="zh-CN"/>
        </w:rPr>
        <w:t>、</w:t>
      </w:r>
      <w:r>
        <w:rPr>
          <w:rFonts w:hint="eastAsia" w:eastAsia="宋体"/>
          <w:color w:val="auto"/>
          <w:highlight w:val="none"/>
          <w:lang w:val="en-US" w:eastAsia="zh-CN"/>
        </w:rPr>
        <w:t>洗砂设备安装及生态恢复治理工程</w:t>
      </w:r>
      <w:r>
        <w:rPr>
          <w:rFonts w:hint="eastAsia" w:ascii="Times New Roman" w:hAnsi="Times New Roman" w:eastAsia="宋体"/>
          <w:color w:val="auto"/>
          <w:highlight w:val="none"/>
        </w:rPr>
        <w:t>等。工程计划总建设工期</w:t>
      </w:r>
      <w:r>
        <w:rPr>
          <w:rFonts w:hint="eastAsia" w:eastAsia="宋体"/>
          <w:color w:val="auto"/>
          <w:highlight w:val="none"/>
          <w:lang w:val="en-US" w:eastAsia="zh-CN"/>
        </w:rPr>
        <w:t>1</w:t>
      </w:r>
      <w:r>
        <w:rPr>
          <w:rFonts w:hint="eastAsia" w:ascii="Times New Roman" w:hAnsi="Times New Roman" w:eastAsia="宋体"/>
          <w:color w:val="auto"/>
          <w:highlight w:val="none"/>
        </w:rPr>
        <w:t>个月。施工期工艺流程及产污环节见图</w:t>
      </w:r>
      <w:r>
        <w:rPr>
          <w:rFonts w:hint="eastAsia" w:ascii="Times New Roman" w:hAnsi="Times New Roman" w:eastAsia="宋体"/>
          <w:color w:val="auto"/>
          <w:highlight w:val="none"/>
          <w:lang w:val="en-US" w:eastAsia="zh-CN"/>
        </w:rPr>
        <w:t>3.6</w:t>
      </w:r>
      <w:r>
        <w:rPr>
          <w:rFonts w:hint="eastAsia" w:ascii="Times New Roman" w:hAnsi="Times New Roman" w:eastAsia="宋体"/>
          <w:color w:val="auto"/>
          <w:highlight w:val="none"/>
        </w:rPr>
        <w:t>-1 所示。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3845560" cy="2025015"/>
            <wp:effectExtent l="0" t="0" r="2540" b="13335"/>
            <wp:docPr id="6" name="图片 6" descr="施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施工期"/>
                    <pic:cNvPicPr>
                      <a:picLocks noChangeAspect="1"/>
                    </pic:cNvPicPr>
                  </pic:nvPicPr>
                  <pic:blipFill>
                    <a:blip r:embed="rId38"/>
                    <a:stretch>
                      <a:fillRect/>
                    </a:stretch>
                  </pic:blipFill>
                  <pic:spPr>
                    <a:xfrm>
                      <a:off x="0" y="0"/>
                      <a:ext cx="3845560" cy="2025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图</w:t>
      </w:r>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-1</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施工期工艺流程及产污环节图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4" w:name="2.5.1.2生态破坏分析"/>
      <w:bookmarkEnd w:id="114"/>
      <w:r>
        <w:rPr>
          <w:rFonts w:hint="eastAsia" w:ascii="Times New Roman" w:hAnsi="Times New Roman" w:eastAsia="宋体"/>
          <w:b/>
          <w:bCs/>
          <w:color w:val="auto"/>
          <w:highlight w:val="none"/>
          <w:lang w:val="en-US" w:eastAsia="zh-CN"/>
        </w:rPr>
        <w:t xml:space="preserve">3.6.1.2 生态破坏分析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施工期生态破坏主要表现在以下几方面：</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w:t>
      </w:r>
      <w:r>
        <w:rPr>
          <w:rFonts w:hint="eastAsia" w:eastAsia="宋体"/>
          <w:color w:val="auto"/>
          <w:highlight w:val="none"/>
          <w:lang w:val="en-US" w:eastAsia="zh-CN"/>
        </w:rPr>
        <w:t>沉淀池</w:t>
      </w:r>
      <w:r>
        <w:rPr>
          <w:rFonts w:hint="eastAsia" w:ascii="Times New Roman" w:hAnsi="Times New Roman" w:eastAsia="宋体"/>
          <w:color w:val="auto"/>
          <w:highlight w:val="none"/>
        </w:rPr>
        <w:t>施工占地清除了占地范围内的植被，永久占地的植被将永远消失，</w:t>
      </w:r>
      <w:r>
        <w:rPr>
          <w:rFonts w:hint="eastAsia" w:ascii="Times New Roman" w:hAnsi="Times New Roman" w:eastAsia="宋体"/>
          <w:color w:val="auto"/>
          <w:highlight w:val="none"/>
          <w:lang w:val="en-US" w:eastAsia="zh-CN"/>
        </w:rPr>
        <w:t>本</w:t>
      </w:r>
      <w:r>
        <w:rPr>
          <w:rFonts w:hint="eastAsia" w:ascii="Times New Roman" w:hAnsi="Times New Roman" w:eastAsia="宋体"/>
          <w:color w:val="auto"/>
          <w:highlight w:val="none"/>
        </w:rPr>
        <w:t>工程</w:t>
      </w:r>
      <w:r>
        <w:rPr>
          <w:rFonts w:hint="eastAsia" w:ascii="Times New Roman" w:hAnsi="Times New Roman" w:eastAsia="宋体"/>
          <w:color w:val="auto"/>
          <w:highlight w:val="none"/>
          <w:lang w:val="en-US" w:eastAsia="zh-CN"/>
        </w:rPr>
        <w:t>不涉及新增</w:t>
      </w:r>
      <w:r>
        <w:rPr>
          <w:rFonts w:hint="eastAsia" w:ascii="Times New Roman" w:hAnsi="Times New Roman" w:eastAsia="宋体"/>
          <w:color w:val="auto"/>
          <w:highlight w:val="none"/>
        </w:rPr>
        <w:t>占地</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占地</w:t>
      </w:r>
      <w:r>
        <w:rPr>
          <w:rFonts w:hint="eastAsia" w:ascii="Times New Roman" w:hAnsi="Times New Roman" w:eastAsia="宋体"/>
          <w:color w:val="auto"/>
          <w:highlight w:val="none"/>
        </w:rPr>
        <w:t>类型主要为</w:t>
      </w:r>
      <w:r>
        <w:rPr>
          <w:rFonts w:hint="eastAsia" w:ascii="Times New Roman" w:hAnsi="Times New Roman" w:eastAsia="宋体"/>
          <w:color w:val="auto"/>
          <w:highlight w:val="none"/>
          <w:lang w:val="en-US" w:eastAsia="zh-CN"/>
        </w:rPr>
        <w:t>采矿用地</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项目在施工过程中，需要翻动土壤，平整场地。此过程中极易造成水蚀或风蚀，产生新的水土流失。</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项目施工活动会影响项目区附近野生动物的正常生物活动，影响其正常迁徙和繁衍。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破坏景观协调性：施工活动与原有景观的不谐调，增加了景观的破碎度， 降低了原景观的审美价值。</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一般来说，施工结束后，临时占地区内的植被在短时间内即会自然恢复，水土流失随之恢复到破坏前的水平，部分地段需要采取人工植物措施恢复植被。永久占地区的植被将永远消失，如果不采取措施，水土流失随之扩大和加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5" w:name="2.5.1.3废水"/>
      <w:bookmarkEnd w:id="115"/>
      <w:r>
        <w:rPr>
          <w:rFonts w:hint="eastAsia" w:ascii="Times New Roman" w:hAnsi="Times New Roman" w:eastAsia="宋体"/>
          <w:b/>
          <w:bCs/>
          <w:color w:val="auto"/>
          <w:highlight w:val="none"/>
          <w:lang w:val="en-US" w:eastAsia="zh-CN"/>
        </w:rPr>
        <w:t xml:space="preserve">3.6.1.3 废水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废水来源于施工机械冲洗废水、施工阶段产生的泥浆废水及现场施工人员生活污水等。施工机械冲洗废水排放量小，冲洗废水主要是水泥碎粒、沙土构成的悬浮物污染；泥浆废水是一种含有微细颗粒的悬浮混浊液体，外观呈土灰色，比重1.20-1.46，含泥量30-50%，pH值约6-7，施工废水产生量为150m³，经沉淀后全部回用；项目施工人员约为</w:t>
      </w:r>
      <w:r>
        <w:rPr>
          <w:rFonts w:hint="eastAsia" w:eastAsia="宋体"/>
          <w:color w:val="auto"/>
          <w:highlight w:val="none"/>
          <w:lang w:val="en-US" w:eastAsia="zh-CN"/>
        </w:rPr>
        <w:t>5</w:t>
      </w:r>
      <w:r>
        <w:rPr>
          <w:rFonts w:hint="eastAsia" w:ascii="Times New Roman" w:hAnsi="Times New Roman" w:eastAsia="宋体"/>
          <w:color w:val="auto"/>
          <w:highlight w:val="none"/>
        </w:rPr>
        <w:t>人，每人每天生活用水量按30L计，则生活用水量为0.</w:t>
      </w:r>
      <w:r>
        <w:rPr>
          <w:rFonts w:hint="eastAsia" w:eastAsia="宋体"/>
          <w:color w:val="auto"/>
          <w:highlight w:val="none"/>
          <w:lang w:val="en-US" w:eastAsia="zh-CN"/>
        </w:rPr>
        <w:t>15</w:t>
      </w:r>
      <w:r>
        <w:rPr>
          <w:rFonts w:hint="eastAsia" w:ascii="Times New Roman" w:hAnsi="Times New Roman" w:eastAsia="宋体"/>
          <w:color w:val="auto"/>
          <w:highlight w:val="none"/>
        </w:rPr>
        <w:t>m³/d，污水产出系数按0.8计，为0.</w:t>
      </w:r>
      <w:r>
        <w:rPr>
          <w:rFonts w:hint="eastAsia" w:eastAsia="宋体"/>
          <w:color w:val="auto"/>
          <w:highlight w:val="none"/>
          <w:lang w:val="en-US" w:eastAsia="zh-CN"/>
        </w:rPr>
        <w:t>12</w:t>
      </w:r>
      <w:r>
        <w:rPr>
          <w:rFonts w:hint="eastAsia" w:ascii="Times New Roman" w:hAnsi="Times New Roman" w:eastAsia="宋体"/>
          <w:color w:val="auto"/>
          <w:highlight w:val="none"/>
        </w:rPr>
        <w:t>m³/d，本项目施工期为</w:t>
      </w:r>
      <w:r>
        <w:rPr>
          <w:rFonts w:hint="eastAsia" w:eastAsia="宋体"/>
          <w:color w:val="auto"/>
          <w:highlight w:val="none"/>
          <w:lang w:val="en-US" w:eastAsia="zh-CN"/>
        </w:rPr>
        <w:t>1</w:t>
      </w:r>
      <w:r>
        <w:rPr>
          <w:rFonts w:hint="eastAsia" w:ascii="Times New Roman" w:hAnsi="Times New Roman" w:eastAsia="宋体"/>
          <w:color w:val="auto"/>
          <w:highlight w:val="none"/>
        </w:rPr>
        <w:t>个月，即生活污水产生量为</w:t>
      </w:r>
      <w:r>
        <w:rPr>
          <w:rFonts w:hint="eastAsia" w:eastAsia="宋体"/>
          <w:color w:val="auto"/>
          <w:highlight w:val="none"/>
          <w:lang w:val="en-US" w:eastAsia="zh-CN"/>
        </w:rPr>
        <w:t>3.6</w:t>
      </w:r>
      <w:r>
        <w:rPr>
          <w:rFonts w:hint="eastAsia" w:ascii="Times New Roman" w:hAnsi="Times New Roman" w:eastAsia="宋体"/>
          <w:color w:val="auto"/>
          <w:highlight w:val="none"/>
        </w:rPr>
        <w:t>m³。施工期生活污水中主要污染物为COD、BOD</w:t>
      </w:r>
      <w:r>
        <w:rPr>
          <w:rFonts w:hint="eastAsia" w:ascii="Times New Roman" w:hAnsi="Times New Roman" w:eastAsia="宋体"/>
          <w:color w:val="auto"/>
          <w:highlight w:val="none"/>
          <w:vertAlign w:val="subscript"/>
        </w:rPr>
        <w:t>5</w:t>
      </w:r>
      <w:r>
        <w:rPr>
          <w:rFonts w:hint="eastAsia" w:ascii="Times New Roman" w:hAnsi="Times New Roman" w:eastAsia="宋体"/>
          <w:color w:val="auto"/>
          <w:highlight w:val="none"/>
        </w:rPr>
        <w:t>、SS和氨氮，其浓度分别为300mg/L、200mg/L、150mg/L和25mg/L。施工期</w:t>
      </w:r>
      <w:r>
        <w:rPr>
          <w:rFonts w:hint="eastAsia" w:ascii="Times New Roman" w:hAnsi="Times New Roman" w:eastAsia="宋体"/>
          <w:color w:val="auto"/>
          <w:highlight w:val="none"/>
          <w:lang w:val="en-US" w:eastAsia="zh-CN"/>
        </w:rPr>
        <w:t>职工生活依托现有办公生活区</w:t>
      </w:r>
      <w:r>
        <w:rPr>
          <w:rFonts w:hint="eastAsia" w:ascii="Times New Roman" w:hAnsi="Times New Roman" w:eastAsia="宋体"/>
          <w:color w:val="auto"/>
          <w:highlight w:val="none"/>
        </w:rPr>
        <w:t>，生活污水</w:t>
      </w:r>
      <w:r>
        <w:rPr>
          <w:rFonts w:hint="eastAsia" w:ascii="Times New Roman" w:hAnsi="Times New Roman" w:eastAsia="宋体"/>
          <w:color w:val="auto"/>
          <w:highlight w:val="none"/>
          <w:lang w:val="en-US" w:eastAsia="zh-CN"/>
        </w:rPr>
        <w:t>排入钢化玻璃化粪池内，定期委托第三方拉运</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6" w:name="2.5.1.4废气"/>
      <w:bookmarkEnd w:id="116"/>
      <w:r>
        <w:rPr>
          <w:rFonts w:hint="eastAsia" w:ascii="Times New Roman" w:hAnsi="Times New Roman" w:eastAsia="宋体"/>
          <w:b/>
          <w:bCs/>
          <w:color w:val="auto"/>
          <w:highlight w:val="none"/>
          <w:lang w:val="en-US" w:eastAsia="zh-CN"/>
        </w:rPr>
        <w:t xml:space="preserve">3.6.1.4 废气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项目施工过程中所产生的主要大气污染物为扬尘。根据一般工程施工环节，项目施工期各主要起尘点为土方的挖掘、堆放、清运和场地平整等过程中产生的粉尘；混凝土</w:t>
      </w:r>
      <w:r>
        <w:rPr>
          <w:rFonts w:hint="eastAsia" w:eastAsia="宋体"/>
          <w:color w:val="auto"/>
          <w:highlight w:val="none"/>
          <w:lang w:val="en-US" w:eastAsia="zh-CN"/>
        </w:rPr>
        <w:t>运输车</w:t>
      </w:r>
      <w:r>
        <w:rPr>
          <w:rFonts w:hint="eastAsia" w:ascii="Times New Roman" w:hAnsi="Times New Roman" w:eastAsia="宋体"/>
          <w:color w:val="auto"/>
          <w:highlight w:val="none"/>
        </w:rPr>
        <w:t>、往来作业机械及运输车辆造成的地面扬尘；建筑材料如水泥、沙子等在装卸、运输、堆放等过程中因振动、洒漏和风力作用造成的扬尘；施工垃圾在堆放、清运过程中的扬尘。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在施工期间，决定粉尘污染程度的主要因素有施工作业方式、原材料堆放形式和风力大小等，其中受风力因素影响较大。一般情况下，静态起尘主要与堆放材料粒径、表面含水率、地面粗糙度、地面风速等因素有关；动态起尘与材料粒径、环境风速、装卸高度、装卸强度等因素有关，其中，风力因素影响较大。本项目施工季节主要为</w:t>
      </w:r>
      <w:r>
        <w:rPr>
          <w:rFonts w:hint="eastAsia" w:ascii="Times New Roman" w:hAnsi="Times New Roman" w:eastAsia="宋体"/>
          <w:color w:val="auto"/>
          <w:highlight w:val="none"/>
          <w:lang w:val="en-US" w:eastAsia="zh-CN"/>
        </w:rPr>
        <w:t>夏</w:t>
      </w:r>
      <w:r>
        <w:rPr>
          <w:rFonts w:hint="eastAsia" w:ascii="Times New Roman" w:hAnsi="Times New Roman" w:eastAsia="宋体"/>
          <w:color w:val="auto"/>
          <w:highlight w:val="none"/>
        </w:rPr>
        <w:t>季，受季风影响动态起尘为工程施工期间扬尘污染的主要类型。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扬尘来源：</w:t>
      </w:r>
      <w:r>
        <w:rPr>
          <w:rFonts w:hint="eastAsia" w:ascii="Times New Roman" w:hAnsi="Times New Roman" w:eastAsia="宋体"/>
          <w:color w:val="auto"/>
          <w:highlight w:val="none"/>
          <w:lang w:val="en-US" w:eastAsia="zh-CN"/>
        </w:rPr>
        <w:t>施工场地</w:t>
      </w:r>
      <w:r>
        <w:rPr>
          <w:rFonts w:hint="eastAsia" w:ascii="Times New Roman" w:hAnsi="Times New Roman" w:eastAsia="宋体"/>
          <w:color w:val="auto"/>
          <w:highlight w:val="none"/>
        </w:rPr>
        <w:t>道路扬尘</w:t>
      </w:r>
      <w:r>
        <w:rPr>
          <w:rFonts w:hint="eastAsia" w:eastAsia="宋体"/>
          <w:color w:val="auto"/>
          <w:highlight w:val="none"/>
          <w:lang w:val="en-US" w:eastAsia="zh-CN"/>
        </w:rPr>
        <w:t>土方作业</w:t>
      </w:r>
      <w:r>
        <w:rPr>
          <w:rFonts w:hint="eastAsia" w:ascii="Times New Roman" w:hAnsi="Times New Roman" w:eastAsia="宋体"/>
          <w:color w:val="auto"/>
          <w:highlight w:val="none"/>
        </w:rPr>
        <w:t>是建筑施工工地扬尘的两项主要来源，占全部</w:t>
      </w:r>
      <w:r>
        <w:rPr>
          <w:rFonts w:hint="eastAsia" w:ascii="Times New Roman" w:hAnsi="Times New Roman" w:eastAsia="宋体"/>
          <w:color w:val="auto"/>
          <w:highlight w:val="none"/>
          <w:lang w:val="en-US" w:eastAsia="zh-CN"/>
        </w:rPr>
        <w:t>施工场地</w:t>
      </w:r>
      <w:r>
        <w:rPr>
          <w:rFonts w:hint="eastAsia" w:ascii="Times New Roman" w:hAnsi="Times New Roman" w:eastAsia="宋体"/>
          <w:color w:val="auto"/>
          <w:highlight w:val="none"/>
        </w:rPr>
        <w:t>扬尘的86%。其中，道路扬尘占62%，</w:t>
      </w:r>
      <w:r>
        <w:rPr>
          <w:rFonts w:hint="eastAsia" w:eastAsia="宋体"/>
          <w:color w:val="auto"/>
          <w:highlight w:val="none"/>
          <w:lang w:val="en-US" w:eastAsia="zh-CN"/>
        </w:rPr>
        <w:t>土方作业</w:t>
      </w:r>
      <w:r>
        <w:rPr>
          <w:rFonts w:hint="eastAsia" w:ascii="Times New Roman" w:hAnsi="Times New Roman" w:eastAsia="宋体"/>
          <w:color w:val="auto"/>
          <w:highlight w:val="none"/>
        </w:rPr>
        <w:t>扬尘占24%。其它如材料的搬运、土方和砂石的堆放扬尘等只占14%。</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影响范围：</w:t>
      </w:r>
      <w:r>
        <w:rPr>
          <w:rFonts w:hint="eastAsia" w:ascii="Times New Roman" w:hAnsi="Times New Roman" w:eastAsia="宋体"/>
          <w:color w:val="auto"/>
          <w:highlight w:val="none"/>
          <w:lang w:val="en-US" w:eastAsia="zh-CN"/>
        </w:rPr>
        <w:t>施工场地</w:t>
      </w:r>
      <w:r>
        <w:rPr>
          <w:rFonts w:hint="eastAsia" w:ascii="Times New Roman" w:hAnsi="Times New Roman" w:eastAsia="宋体"/>
          <w:color w:val="auto"/>
          <w:highlight w:val="none"/>
        </w:rPr>
        <w:t>道路扬尘视其路面质量不同相差较大，但其影响范围为道路两侧各约50m的区域；建筑工地扬尘的影响范围主要在工地边界外150m以内。</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施工期对大气环境的影响主要是各工程建设产生的扬尘，但其仅对局地大气环境有一定影响，采取一些洒水增湿作业等措施后，对区域大气环境的影响较小，且随着施工的结束，施工期大气影响随之消失。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rPr>
      </w:pPr>
      <w:bookmarkStart w:id="117" w:name="2.5.1.5噪声"/>
      <w:bookmarkEnd w:id="117"/>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.1.5 噪声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 xml:space="preserve">施工噪声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施工期噪声主要是各种机械设备所产生的噪声和车辆行驶时产生的噪声。施工设备中噪声级较高的机械设备有推土机、挖掘机、装载机、钻机、振捣棒等，其噪声级在67-103dB（A），详见表</w:t>
      </w:r>
      <w:r>
        <w:rPr>
          <w:rFonts w:hint="eastAsia" w:ascii="Times New Roman" w:hAnsi="Times New Roman" w:eastAsia="宋体"/>
          <w:color w:val="auto"/>
          <w:highlight w:val="none"/>
          <w:lang w:val="en-US" w:eastAsia="zh-CN"/>
        </w:rPr>
        <w:t>3.6</w:t>
      </w:r>
      <w:r>
        <w:rPr>
          <w:rFonts w:hint="eastAsia" w:ascii="Times New Roman" w:hAnsi="Times New Roman" w:eastAsia="宋体"/>
          <w:color w:val="auto"/>
          <w:highlight w:val="none"/>
        </w:rPr>
        <w:t>-1。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-1</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施工机械噪声级</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单位：dB（A）</w:t>
      </w:r>
    </w:p>
    <w:tbl>
      <w:tblPr>
        <w:tblStyle w:val="35"/>
        <w:tblW w:w="8367" w:type="dxa"/>
        <w:tblInd w:w="104"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362"/>
        <w:gridCol w:w="3056"/>
        <w:gridCol w:w="2003"/>
        <w:gridCol w:w="194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67"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噪声源名称</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声级 dB（A）</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测量距离（m）</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35"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振捣棒</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93</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35"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提升机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78</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22"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挖掘机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67～77</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97"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临时风机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92～95</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47"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重型卡车、拖拉机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80～85</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10"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装载机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72"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翻斗车</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83～89</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35"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推土机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85～90</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8" w:name="2.5.1.6固废"/>
      <w:bookmarkEnd w:id="118"/>
      <w:r>
        <w:rPr>
          <w:rFonts w:hint="eastAsia" w:ascii="Times New Roman" w:hAnsi="Times New Roman" w:eastAsia="宋体"/>
          <w:b/>
          <w:bCs/>
          <w:color w:val="auto"/>
          <w:highlight w:val="none"/>
          <w:lang w:val="en-US" w:eastAsia="zh-CN"/>
        </w:rPr>
        <w:t xml:space="preserve">3.6.1.6 固废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施工期固体废物包括建筑垃圾与施工人员产生的生活垃圾。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建筑垃圾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rPr>
        <w:t>本项目在</w:t>
      </w:r>
      <w:r>
        <w:rPr>
          <w:rFonts w:hint="eastAsia" w:eastAsia="宋体"/>
          <w:color w:val="auto"/>
          <w:highlight w:val="none"/>
          <w:lang w:val="en-US" w:eastAsia="zh-CN"/>
        </w:rPr>
        <w:t>沉淀池修建</w:t>
      </w:r>
      <w:r>
        <w:rPr>
          <w:rFonts w:hint="eastAsia" w:ascii="Times New Roman" w:hAnsi="Times New Roman" w:eastAsia="宋体"/>
          <w:color w:val="auto"/>
          <w:highlight w:val="none"/>
        </w:rPr>
        <w:t>过程中产生的各种废建筑材料，如碎砖块、水泥块、废木料、工程土等，产生量为</w:t>
      </w:r>
      <w:r>
        <w:rPr>
          <w:rFonts w:hint="eastAsia" w:eastAsia="宋体"/>
          <w:color w:val="auto"/>
          <w:highlight w:val="none"/>
          <w:lang w:val="en-US" w:eastAsia="zh-CN"/>
        </w:rPr>
        <w:t>0.5</w:t>
      </w:r>
      <w:r>
        <w:rPr>
          <w:rFonts w:hint="eastAsia" w:ascii="Times New Roman" w:hAnsi="Times New Roman" w:eastAsia="宋体"/>
          <w:color w:val="auto"/>
          <w:highlight w:val="none"/>
        </w:rPr>
        <w:t>t，</w:t>
      </w:r>
      <w:r>
        <w:rPr>
          <w:rFonts w:hint="eastAsia" w:eastAsia="宋体"/>
          <w:color w:val="auto"/>
          <w:highlight w:val="none"/>
          <w:lang w:val="en-US" w:eastAsia="zh-CN"/>
        </w:rPr>
        <w:t>送西侧采空区回填处置</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rPr>
        <w:t>施工人员生活垃圾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本项目预计平均施工人员</w:t>
      </w:r>
      <w:r>
        <w:rPr>
          <w:rFonts w:hint="eastAsia" w:eastAsia="宋体"/>
          <w:color w:val="auto"/>
          <w:highlight w:val="none"/>
          <w:lang w:val="en-US" w:eastAsia="zh-CN"/>
        </w:rPr>
        <w:t>5</w:t>
      </w:r>
      <w:r>
        <w:rPr>
          <w:rFonts w:hint="eastAsia" w:ascii="Times New Roman" w:hAnsi="Times New Roman" w:eastAsia="宋体"/>
          <w:color w:val="auto"/>
          <w:highlight w:val="none"/>
        </w:rPr>
        <w:t>人/天，生活垃圾产生量按 0.5kg/d.人计，则生活垃圾产生量为</w:t>
      </w:r>
      <w:r>
        <w:rPr>
          <w:rFonts w:hint="eastAsia" w:eastAsia="宋体"/>
          <w:color w:val="auto"/>
          <w:highlight w:val="none"/>
          <w:lang w:val="en-US" w:eastAsia="zh-CN"/>
        </w:rPr>
        <w:t>2.5kg</w:t>
      </w:r>
      <w:r>
        <w:rPr>
          <w:rFonts w:hint="eastAsia" w:ascii="Times New Roman" w:hAnsi="Times New Roman" w:eastAsia="宋体"/>
          <w:color w:val="auto"/>
          <w:highlight w:val="none"/>
        </w:rPr>
        <w:t>/d，施工期为</w:t>
      </w:r>
      <w:r>
        <w:rPr>
          <w:rFonts w:hint="eastAsia" w:eastAsia="宋体"/>
          <w:color w:val="auto"/>
          <w:highlight w:val="none"/>
          <w:lang w:val="en-US" w:eastAsia="zh-CN"/>
        </w:rPr>
        <w:t>1</w:t>
      </w:r>
      <w:r>
        <w:rPr>
          <w:rFonts w:hint="eastAsia" w:ascii="Times New Roman" w:hAnsi="Times New Roman" w:eastAsia="宋体"/>
          <w:color w:val="auto"/>
          <w:highlight w:val="none"/>
        </w:rPr>
        <w:t>个月，以</w:t>
      </w:r>
      <w:r>
        <w:rPr>
          <w:rFonts w:hint="eastAsia" w:ascii="Times New Roman" w:hAnsi="Times New Roman" w:eastAsia="宋体"/>
          <w:color w:val="auto"/>
          <w:highlight w:val="none"/>
          <w:lang w:val="en-US" w:eastAsia="zh-CN"/>
        </w:rPr>
        <w:t>30</w:t>
      </w:r>
      <w:r>
        <w:rPr>
          <w:rFonts w:hint="eastAsia" w:ascii="Times New Roman" w:hAnsi="Times New Roman" w:eastAsia="宋体"/>
          <w:color w:val="auto"/>
          <w:highlight w:val="none"/>
        </w:rPr>
        <w:t>天计算，则施工期生活垃圾产生量为</w:t>
      </w:r>
      <w:r>
        <w:rPr>
          <w:rFonts w:hint="eastAsia" w:eastAsia="宋体"/>
          <w:color w:val="auto"/>
          <w:highlight w:val="none"/>
          <w:lang w:val="en-US" w:eastAsia="zh-CN"/>
        </w:rPr>
        <w:t>0.075</w:t>
      </w:r>
      <w:r>
        <w:rPr>
          <w:rFonts w:hint="eastAsia" w:ascii="Times New Roman" w:hAnsi="Times New Roman" w:eastAsia="宋体"/>
          <w:color w:val="auto"/>
          <w:highlight w:val="none"/>
        </w:rPr>
        <w:t>t。按环卫部门要求统一处理。</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28"/>
          <w:szCs w:val="28"/>
          <w:highlight w:val="none"/>
          <w:lang w:val="en-US" w:eastAsia="zh-CN"/>
        </w:rPr>
      </w:pPr>
      <w:bookmarkStart w:id="119" w:name="_Toc13564"/>
      <w:r>
        <w:rPr>
          <w:rFonts w:hint="eastAsia" w:ascii="Times New Roman" w:hAnsi="Times New Roman" w:eastAsia="宋体"/>
          <w:b/>
          <w:bCs w:val="0"/>
          <w:color w:val="auto"/>
          <w:sz w:val="28"/>
          <w:szCs w:val="28"/>
          <w:highlight w:val="none"/>
          <w:lang w:val="en-US" w:eastAsia="zh-CN"/>
        </w:rPr>
        <w:t>3.6.2 运营期污染源分析</w:t>
      </w:r>
      <w:bookmarkEnd w:id="119"/>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FF0000"/>
          <w:highlight w:val="none"/>
        </w:rPr>
        <w:t>运营期</w:t>
      </w:r>
      <w:r>
        <w:rPr>
          <w:rFonts w:hint="eastAsia" w:eastAsia="宋体"/>
          <w:color w:val="FF0000"/>
          <w:highlight w:val="none"/>
          <w:lang w:val="en-US" w:eastAsia="zh-CN"/>
        </w:rPr>
        <w:t>主要为矿砂开采及水洗加工处理，采出的原矿根据订单需求，部分直接出售，其余部分经筛分后，进洗砂机将砂石中的泥质分离出，水洗后的建筑用砂堆放于成品堆场，产生的废石能出售利用的优先出售利用，不能出售的由翻斗车运至采空区回填处置，洗砂废水经沉淀池沉淀后回用于洗砂工艺，沉淀池底泥采用泥水分离机分离后，脱出水回流至沉淀池，脱出底泥由翻斗车运至采空区回填处置。</w:t>
      </w:r>
      <w:r>
        <w:rPr>
          <w:rFonts w:hint="eastAsia" w:ascii="Times New Roman" w:hAnsi="Times New Roman" w:eastAsia="宋体"/>
          <w:color w:val="auto"/>
          <w:highlight w:val="none"/>
        </w:rPr>
        <w:t>开采工艺及产污环节见图</w:t>
      </w:r>
      <w:r>
        <w:rPr>
          <w:rFonts w:hint="eastAsia" w:ascii="Times New Roman" w:hAnsi="Times New Roman" w:eastAsia="宋体"/>
          <w:color w:val="auto"/>
          <w:highlight w:val="none"/>
          <w:lang w:val="en-US" w:eastAsia="zh-CN"/>
        </w:rPr>
        <w:t>3.6</w:t>
      </w:r>
      <w:r>
        <w:rPr>
          <w:rFonts w:hint="eastAsia" w:ascii="Times New Roman" w:hAnsi="Times New Roman" w:eastAsia="宋体"/>
          <w:color w:val="auto"/>
          <w:highlight w:val="none"/>
        </w:rPr>
        <w:t>-2。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71770" cy="1567815"/>
            <wp:effectExtent l="0" t="0" r="5080" b="1333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39"/>
                    <a:stretch>
                      <a:fillRect/>
                    </a:stretch>
                  </pic:blipFill>
                  <pic:spPr>
                    <a:xfrm>
                      <a:off x="0" y="0"/>
                      <a:ext cx="5271770" cy="1567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rPr>
      </w:pPr>
      <w:r>
        <w:rPr>
          <w:rFonts w:hint="eastAsia" w:ascii="Times New Roman" w:hAnsi="Times New Roman" w:eastAsia="宋体"/>
          <w:b/>
          <w:bCs/>
          <w:color w:val="FF0000"/>
          <w:highlight w:val="none"/>
        </w:rPr>
        <w:t xml:space="preserve">图 </w:t>
      </w:r>
      <w:r>
        <w:rPr>
          <w:rFonts w:hint="eastAsia" w:ascii="Times New Roman" w:hAnsi="Times New Roman" w:eastAsia="宋体"/>
          <w:b/>
          <w:bCs/>
          <w:color w:val="FF0000"/>
          <w:highlight w:val="none"/>
          <w:lang w:val="en-US" w:eastAsia="zh-CN"/>
        </w:rPr>
        <w:t>3.6</w:t>
      </w:r>
      <w:r>
        <w:rPr>
          <w:rFonts w:hint="eastAsia" w:ascii="Times New Roman" w:hAnsi="Times New Roman" w:eastAsia="宋体"/>
          <w:b/>
          <w:bCs/>
          <w:color w:val="FF0000"/>
          <w:highlight w:val="none"/>
        </w:rPr>
        <w:t>-2</w:t>
      </w:r>
      <w:r>
        <w:rPr>
          <w:rFonts w:hint="eastAsia" w:ascii="Times New Roman" w:hAnsi="Times New Roman" w:eastAsia="宋体"/>
          <w:b/>
          <w:bCs/>
          <w:color w:val="FF0000"/>
          <w:highlight w:val="none"/>
        </w:rPr>
        <w:tab/>
      </w:r>
      <w:r>
        <w:rPr>
          <w:rFonts w:hint="eastAsia" w:eastAsia="宋体"/>
          <w:b/>
          <w:bCs/>
          <w:color w:val="FF0000"/>
          <w:highlight w:val="none"/>
          <w:lang w:val="en-US" w:eastAsia="zh-CN"/>
        </w:rPr>
        <w:t>砂石</w:t>
      </w:r>
      <w:r>
        <w:rPr>
          <w:rFonts w:hint="eastAsia" w:ascii="Times New Roman" w:hAnsi="Times New Roman" w:eastAsia="宋体"/>
          <w:b/>
          <w:bCs/>
          <w:color w:val="FF0000"/>
          <w:highlight w:val="none"/>
        </w:rPr>
        <w:t>开采</w:t>
      </w:r>
      <w:r>
        <w:rPr>
          <w:rFonts w:hint="eastAsia" w:eastAsia="宋体"/>
          <w:b/>
          <w:bCs/>
          <w:color w:val="FF0000"/>
          <w:highlight w:val="none"/>
          <w:lang w:val="en-US" w:eastAsia="zh-CN"/>
        </w:rPr>
        <w:t>和洗砂</w:t>
      </w:r>
      <w:r>
        <w:rPr>
          <w:rFonts w:hint="eastAsia" w:ascii="Times New Roman" w:hAnsi="Times New Roman" w:eastAsia="宋体"/>
          <w:b/>
          <w:bCs/>
          <w:color w:val="FF0000"/>
          <w:highlight w:val="none"/>
        </w:rPr>
        <w:t>工艺及产污环节图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 xml:space="preserve">3.6.2.1 生态破坏分析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生态影响主要体现在项目开采阶段，其对生态环境的影响主要表现为占用土地、改变土地利用性质、破坏植被、扰动土层、裸露地表和诱发水土流失、影响自然景观。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（1）</w:t>
      </w:r>
      <w:r>
        <w:rPr>
          <w:rFonts w:hint="eastAsia" w:ascii="Times New Roman" w:hAnsi="Times New Roman" w:eastAsia="宋体"/>
          <w:color w:val="auto"/>
          <w:highlight w:val="none"/>
        </w:rPr>
        <w:t>占用土地、改变原有土地使用功能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新增占地，</w:t>
      </w:r>
      <w:r>
        <w:rPr>
          <w:rFonts w:hint="eastAsia" w:ascii="Times New Roman" w:hAnsi="Times New Roman" w:eastAsia="宋体"/>
          <w:color w:val="auto"/>
          <w:highlight w:val="none"/>
          <w:lang w:val="en-US" w:eastAsia="zh-CN"/>
        </w:rPr>
        <w:t>不会改变土地利用类型</w:t>
      </w:r>
      <w:r>
        <w:rPr>
          <w:rFonts w:hint="eastAsia" w:ascii="Times New Roman" w:hAnsi="Times New Roman" w:eastAsia="宋体"/>
          <w:color w:val="auto"/>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 xml:space="preserve">土壤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区地表草地等具有水土保持功能的植被侵占、破坏后，地表裸露，即使没有被冲刷，表土的湿度变幅增加，土壤理化性质劣化。其中最明显的变化是有机质分解作用加强，使土壤内有机质含量降低，不利于重新栽培其它植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对动、植物</w:t>
      </w:r>
      <w:r>
        <w:rPr>
          <w:rFonts w:hint="eastAsia" w:eastAsia="宋体"/>
          <w:color w:val="auto"/>
          <w:highlight w:val="none"/>
          <w:lang w:val="en-US" w:eastAsia="zh-CN"/>
        </w:rPr>
        <w:t xml:space="preserve"> </w:t>
      </w:r>
      <w:r>
        <w:rPr>
          <w:rFonts w:hint="eastAsia" w:ascii="Times New Roman" w:hAnsi="Times New Roman" w:eastAsia="宋体"/>
          <w:color w:val="auto"/>
          <w:highlight w:val="none"/>
        </w:rPr>
        <w:t xml:space="preserve">影响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建设对植被的影响主要为运营过程中产生的粉尘、运输扬尘等将使周边特别是沿运输线两边的草地受到危害。扬尘直接降落植物叶面，严重影响植物的光合作用，抑制植物的繁殖和更新。本项目生产运营期的作业和机械噪声，将对项目区及周围一定范围内的野生动物的活动和栖息产生一定影响。评价区内的野生动物种类较少，在实地调查中并没有发现大型野生哺乳动物，现有的野生动物多为一些常见的鸟类、野兔、鼠类和昆虫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扰动土层、裸露地表产生水土流失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矿山开发过程的扰动土层对原地貌、土壤和植被产生很大影响。本矿山开采结束后，</w:t>
      </w:r>
      <w:r>
        <w:rPr>
          <w:rFonts w:hint="eastAsia" w:eastAsia="宋体"/>
          <w:color w:val="auto"/>
          <w:highlight w:val="none"/>
          <w:lang w:val="en-US" w:eastAsia="zh-CN"/>
        </w:rPr>
        <w:t>开采区</w:t>
      </w:r>
      <w:r>
        <w:rPr>
          <w:rFonts w:hint="eastAsia" w:ascii="Times New Roman" w:hAnsi="Times New Roman" w:eastAsia="宋体"/>
          <w:color w:val="auto"/>
          <w:highlight w:val="none"/>
        </w:rPr>
        <w:t>将占压一定数量的植被，改变原地形地貌，对区域的生态系统造成破坏，水土保持功能受到损坏，容易造成水土流失。</w:t>
      </w:r>
      <w:r>
        <w:rPr>
          <w:rFonts w:hint="eastAsia" w:ascii="Times New Roman" w:hAnsi="Times New Roman" w:eastAsia="宋体"/>
          <w:color w:val="auto"/>
          <w:highlight w:val="none"/>
          <w:lang w:val="en-US" w:eastAsia="zh-CN"/>
        </w:rPr>
        <w:t>本项目</w:t>
      </w:r>
      <w:r>
        <w:rPr>
          <w:rFonts w:hint="eastAsia" w:eastAsia="宋体"/>
          <w:color w:val="auto"/>
          <w:highlight w:val="none"/>
          <w:lang w:val="en-US" w:eastAsia="zh-CN"/>
        </w:rPr>
        <w:t>开采结束后</w:t>
      </w:r>
      <w:r>
        <w:rPr>
          <w:rFonts w:hint="eastAsia" w:ascii="Times New Roman" w:hAnsi="Times New Roman" w:eastAsia="宋体"/>
          <w:color w:val="auto"/>
          <w:highlight w:val="none"/>
          <w:lang w:val="en-US" w:eastAsia="zh-CN"/>
        </w:rPr>
        <w:t>对</w:t>
      </w:r>
      <w:r>
        <w:rPr>
          <w:rFonts w:hint="eastAsia" w:eastAsia="宋体"/>
          <w:color w:val="auto"/>
          <w:highlight w:val="none"/>
          <w:lang w:val="en-US" w:eastAsia="zh-CN"/>
        </w:rPr>
        <w:t>采矿区</w:t>
      </w:r>
      <w:r>
        <w:rPr>
          <w:rFonts w:hint="eastAsia" w:ascii="Times New Roman" w:hAnsi="Times New Roman" w:eastAsia="宋体"/>
          <w:color w:val="auto"/>
          <w:highlight w:val="none"/>
          <w:lang w:val="en-US" w:eastAsia="zh-CN"/>
        </w:rPr>
        <w:t>进行植被恢复。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 xml:space="preserve">增加景观破碎度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采矿区、</w:t>
      </w:r>
      <w:r>
        <w:rPr>
          <w:rFonts w:hint="eastAsia" w:eastAsia="宋体"/>
          <w:color w:val="auto"/>
          <w:highlight w:val="none"/>
          <w:lang w:val="en-US" w:eastAsia="zh-CN"/>
        </w:rPr>
        <w:t>表土</w:t>
      </w:r>
      <w:r>
        <w:rPr>
          <w:rFonts w:hint="eastAsia" w:ascii="Times New Roman" w:hAnsi="Times New Roman" w:eastAsia="宋体"/>
          <w:color w:val="auto"/>
          <w:highlight w:val="none"/>
        </w:rPr>
        <w:t>临时堆场等与原有景观的不谐调，增加了景观的破碎度。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20" w:name="2.5.2.2废水"/>
      <w:bookmarkEnd w:id="120"/>
      <w:r>
        <w:rPr>
          <w:rFonts w:hint="eastAsia" w:ascii="Times New Roman" w:hAnsi="Times New Roman" w:eastAsia="宋体"/>
          <w:b/>
          <w:bCs/>
          <w:color w:val="auto"/>
          <w:highlight w:val="none"/>
          <w:lang w:val="en-US" w:eastAsia="zh-CN"/>
        </w:rPr>
        <w:t xml:space="preserve">3.6.2.2 废水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auto"/>
          <w:highlight w:val="none"/>
        </w:rPr>
        <w:t>本项目废水</w:t>
      </w:r>
      <w:r>
        <w:rPr>
          <w:rFonts w:hint="eastAsia" w:ascii="Times New Roman" w:hAnsi="Times New Roman" w:eastAsia="宋体"/>
          <w:color w:val="000000" w:themeColor="text1"/>
          <w:highlight w:val="none"/>
          <w14:textFill>
            <w14:solidFill>
              <w14:schemeClr w14:val="tx1"/>
            </w14:solidFill>
          </w14:textFill>
        </w:rPr>
        <w:t>污染源为</w:t>
      </w:r>
      <w:r>
        <w:rPr>
          <w:rFonts w:hint="eastAsia" w:eastAsia="宋体"/>
          <w:color w:val="000000" w:themeColor="text1"/>
          <w:highlight w:val="none"/>
          <w:lang w:val="en-US" w:eastAsia="zh-CN"/>
          <w14:textFill>
            <w14:solidFill>
              <w14:schemeClr w14:val="tx1"/>
            </w14:solidFill>
          </w14:textFill>
        </w:rPr>
        <w:t>洗砂废水及</w:t>
      </w:r>
      <w:r>
        <w:rPr>
          <w:rFonts w:hint="eastAsia" w:ascii="Times New Roman" w:hAnsi="Times New Roman" w:eastAsia="宋体"/>
          <w:color w:val="000000" w:themeColor="text1"/>
          <w:highlight w:val="none"/>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洗砂废水</w:t>
      </w:r>
    </w:p>
    <w:p>
      <w:pPr>
        <w:adjustRightInd w:val="0"/>
        <w:snapToGrid w:val="0"/>
        <w:spacing w:line="360" w:lineRule="auto"/>
        <w:ind w:firstLine="480" w:firstLineChars="200"/>
        <w:rPr>
          <w:rFonts w:hint="default" w:ascii="Times New Roman" w:hAnsi="Times New Roman" w:eastAsia="宋体"/>
          <w:color w:val="000000" w:themeColor="text1"/>
          <w:sz w:val="24"/>
          <w:szCs w:val="24"/>
          <w:highlight w:val="yellow"/>
          <w:lang w:val="en-US"/>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根据本项目工程</w:t>
      </w:r>
      <w:r>
        <w:rPr>
          <w:rFonts w:hint="eastAsia" w:ascii="Times New Roman" w:hAnsi="Times New Roman" w:eastAsia="宋体"/>
          <w:bCs/>
          <w:sz w:val="24"/>
          <w:szCs w:val="24"/>
          <w:highlight w:val="none"/>
        </w:rPr>
        <w:t>分析结果，该项目</w:t>
      </w:r>
      <w:r>
        <w:rPr>
          <w:rFonts w:hint="eastAsia" w:eastAsia="宋体"/>
          <w:b w:val="0"/>
          <w:bCs/>
          <w:color w:val="auto"/>
          <w:highlight w:val="none"/>
          <w:lang w:val="en-US" w:eastAsia="zh-CN"/>
        </w:rPr>
        <w:t>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eastAsia="宋体"/>
          <w:color w:val="auto"/>
          <w:highlight w:val="none"/>
          <w:lang w:val="en-US" w:eastAsia="zh-CN"/>
        </w:rPr>
        <w:t>使用</w:t>
      </w:r>
      <w:r>
        <w:rPr>
          <w:rFonts w:hint="eastAsia" w:ascii="Times New Roman" w:hAnsi="Times New Roman" w:eastAsia="宋体"/>
          <w:color w:val="auto"/>
          <w:highlight w:val="none"/>
        </w:rPr>
        <w:t>既有的</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w:t>
      </w:r>
      <w:r>
        <w:rPr>
          <w:rFonts w:hint="eastAsia" w:eastAsia="宋体"/>
          <w:color w:val="auto"/>
          <w:highlight w:val="none"/>
          <w:lang w:val="en-US" w:eastAsia="zh-CN"/>
        </w:rPr>
        <w:t>朱日和镇</w:t>
      </w:r>
      <w:r>
        <w:rPr>
          <w:rFonts w:hint="eastAsia" w:ascii="Times New Roman" w:hAnsi="Times New Roman" w:eastAsia="宋体"/>
          <w:color w:val="auto"/>
          <w:highlight w:val="none"/>
          <w:lang w:val="en-US" w:eastAsia="zh-CN"/>
        </w:rPr>
        <w:t>生活污水处理厂进行进一步处理</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21" w:name="2.5.2.3废气"/>
      <w:bookmarkEnd w:id="121"/>
      <w:r>
        <w:rPr>
          <w:rFonts w:hint="eastAsia" w:ascii="Times New Roman" w:hAnsi="Times New Roman" w:eastAsia="宋体"/>
          <w:b/>
          <w:bCs/>
          <w:color w:val="auto"/>
          <w:highlight w:val="none"/>
          <w:lang w:val="en-US" w:eastAsia="zh-CN"/>
        </w:rPr>
        <w:t xml:space="preserve">3.6.2.3 废气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FF0000"/>
          <w:highlight w:val="none"/>
          <w:lang w:val="en-US" w:eastAsia="zh-CN"/>
        </w:rPr>
        <w:t>本项目运营期间产生的废气主要为</w:t>
      </w:r>
      <w:r>
        <w:rPr>
          <w:rFonts w:hint="eastAsia" w:eastAsia="宋体"/>
          <w:color w:val="FF0000"/>
          <w:highlight w:val="none"/>
          <w:lang w:val="en-US" w:eastAsia="zh-CN"/>
        </w:rPr>
        <w:t>露天采场原料砂开采、装卸及堆存粉尘</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成品砂</w:t>
      </w:r>
      <w:r>
        <w:rPr>
          <w:rFonts w:hint="eastAsia" w:ascii="Times New Roman" w:hAnsi="Times New Roman" w:eastAsia="宋体"/>
          <w:color w:val="FF0000"/>
          <w:highlight w:val="none"/>
          <w:lang w:val="en-US" w:eastAsia="zh-CN"/>
        </w:rPr>
        <w:t>装卸及堆存粉尘</w:t>
      </w:r>
      <w:r>
        <w:rPr>
          <w:rFonts w:hint="eastAsia" w:eastAsia="宋体"/>
          <w:color w:val="FF0000"/>
          <w:highlight w:val="none"/>
          <w:lang w:val="en-US" w:eastAsia="zh-CN"/>
        </w:rPr>
        <w:t>、回填区作业面粉尘、筛分工序粉尘</w:t>
      </w:r>
      <w:r>
        <w:rPr>
          <w:rFonts w:hint="eastAsia" w:ascii="Times New Roman" w:hAnsi="Times New Roman" w:eastAsia="宋体"/>
          <w:color w:val="FF0000"/>
          <w:highlight w:val="none"/>
          <w:lang w:val="en-US" w:eastAsia="zh-CN"/>
        </w:rPr>
        <w:t>；道路运输扬尘。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rPr>
        <w:t>（1）</w:t>
      </w:r>
      <w:r>
        <w:rPr>
          <w:rFonts w:hint="eastAsia" w:eastAsia="宋体"/>
          <w:color w:val="FF0000"/>
          <w:highlight w:val="none"/>
          <w:lang w:val="en-US" w:eastAsia="zh-CN"/>
        </w:rPr>
        <w:t>露天采场原料砂开采、装卸及堆存粉尘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FF0000"/>
          <w:highlight w:val="none"/>
          <w:lang w:val="en-US" w:eastAsia="zh-CN"/>
        </w:rPr>
      </w:pPr>
      <w:r>
        <w:rPr>
          <w:rFonts w:hint="eastAsia" w:eastAsia="宋体"/>
          <w:color w:val="FF0000"/>
          <w:highlight w:val="none"/>
          <w:lang w:val="en-US" w:eastAsia="zh-CN"/>
        </w:rPr>
        <w:t>露天采场在采砂作业原料开采、砂装卸及堆存过程中，由于地表扰动和风力作用会产生扬尘，主要大气污染物为颗粒物，将对大气环境产生污染影响。</w:t>
      </w:r>
      <w:r>
        <w:rPr>
          <w:rFonts w:hint="eastAsia" w:ascii="Times New Roman" w:hAnsi="Times New Roman" w:eastAsia="宋体"/>
          <w:color w:val="FF0000"/>
          <w:highlight w:val="none"/>
          <w:lang w:val="en-US" w:eastAsia="zh-CN"/>
        </w:rPr>
        <w:t>参考《逸散性工业粉尘控制技术》中的经验估算，</w:t>
      </w:r>
      <w:r>
        <w:rPr>
          <w:rFonts w:hint="eastAsia" w:eastAsia="宋体"/>
          <w:color w:val="FF0000"/>
          <w:highlight w:val="none"/>
          <w:lang w:val="en-US" w:eastAsia="zh-CN"/>
        </w:rPr>
        <w:t>原料砂</w:t>
      </w:r>
      <w:r>
        <w:rPr>
          <w:rFonts w:hint="eastAsia" w:ascii="Times New Roman" w:hAnsi="Times New Roman" w:eastAsia="宋体"/>
          <w:color w:val="FF0000"/>
          <w:highlight w:val="none"/>
          <w:lang w:val="en-US" w:eastAsia="zh-CN"/>
        </w:rPr>
        <w:t>的逸散尘量为0.005kg/t。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eastAsia="zh-CN"/>
        </w:rPr>
      </w:pPr>
      <w:r>
        <w:rPr>
          <w:rFonts w:hint="eastAsia" w:eastAsia="宋体"/>
          <w:color w:val="FF0000"/>
          <w:highlight w:val="none"/>
          <w:lang w:val="en-US" w:eastAsia="zh-CN"/>
        </w:rPr>
        <w:t>采场每年开采能力为6×10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/a，合计76800t/a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eastAsia="宋体"/>
          <w:color w:val="FF0000"/>
          <w:highlight w:val="none"/>
          <w:lang w:val="en-US" w:eastAsia="zh-CN"/>
        </w:rPr>
        <w:t>，经计算采场起尘量约为0.384t/a，通过采取雾炮降尘、降低作业面、大风天气停止作业等措施后，降尘量为99%，采场扬尘降为0.00384t/a（0.002kg/h）。</w:t>
      </w:r>
      <w:r>
        <w:rPr>
          <w:rFonts w:hint="eastAsia" w:ascii="Times New Roman" w:hAnsi="Times New Roman" w:eastAsia="宋体"/>
          <w:color w:val="FF0000"/>
          <w:highlight w:val="none"/>
          <w:lang w:val="en-US" w:eastAsia="zh-CN"/>
        </w:rPr>
        <w:t>通过预测，最大落地浓度为</w:t>
      </w:r>
      <w:r>
        <w:rPr>
          <w:rFonts w:hint="eastAsia" w:eastAsia="宋体"/>
          <w:color w:val="FF0000"/>
          <w:highlight w:val="none"/>
          <w:lang w:val="en-US" w:eastAsia="zh-CN"/>
        </w:rPr>
        <w:t>73.63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r>
        <w:rPr>
          <w:rFonts w:hint="eastAsia" w:ascii="Times New Roman" w:hAnsi="Times New Roman" w:eastAsia="宋体"/>
          <w:color w:val="FF0000"/>
          <w:highlight w:val="none"/>
          <w:lang w:val="en-US" w:eastAsia="zh-CN"/>
        </w:rPr>
        <w: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（2）</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堆存及装卸粉尘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成品砂</w:t>
      </w:r>
      <w:r>
        <w:rPr>
          <w:rFonts w:hint="eastAsia" w:ascii="Times New Roman" w:hAnsi="Times New Roman" w:eastAsia="宋体"/>
          <w:color w:val="FF0000"/>
          <w:highlight w:val="none"/>
          <w:lang w:val="en-US" w:eastAsia="zh-CN"/>
        </w:rPr>
        <w:t>的装卸、堆存过程会产生粉尘，参考《逸散性工业粉尘控制技术》中的经验估算，</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w:t>
      </w:r>
      <w:r>
        <w:rPr>
          <w:rFonts w:hint="eastAsia" w:ascii="Times New Roman" w:hAnsi="Times New Roman" w:eastAsia="宋体"/>
          <w:color w:val="FF0000"/>
          <w:highlight w:val="none"/>
          <w:lang w:val="en-US" w:eastAsia="zh-CN"/>
        </w:rPr>
        <w:t>场存放的均为水洗过后的沙子，含水量较高，</w:t>
      </w:r>
      <w:r>
        <w:rPr>
          <w:rFonts w:hint="eastAsia" w:eastAsia="宋体"/>
          <w:color w:val="FF0000"/>
          <w:highlight w:val="none"/>
          <w:lang w:val="en-US" w:eastAsia="zh-CN"/>
        </w:rPr>
        <w:t>粉尘</w:t>
      </w:r>
      <w:r>
        <w:rPr>
          <w:rFonts w:hint="eastAsia" w:ascii="Times New Roman" w:hAnsi="Times New Roman" w:eastAsia="宋体"/>
          <w:color w:val="FF0000"/>
          <w:highlight w:val="none"/>
          <w:lang w:val="en-US" w:eastAsia="zh-CN"/>
        </w:rPr>
        <w:t>的逸散尘量为0.00</w:t>
      </w:r>
      <w:r>
        <w:rPr>
          <w:rFonts w:hint="eastAsia" w:eastAsia="宋体"/>
          <w:color w:val="FF0000"/>
          <w:highlight w:val="none"/>
          <w:lang w:val="en-US" w:eastAsia="zh-CN"/>
        </w:rPr>
        <w:t>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成品砂年周转量为3.28</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，即41984t/a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0.0021</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本项目成品砂为水洗后砂料，含水量较高，且未颗粒物料，通过苫盖</w:t>
      </w:r>
      <w:r>
        <w:rPr>
          <w:rFonts w:hint="eastAsia" w:ascii="Times New Roman" w:hAnsi="Times New Roman" w:eastAsia="宋体"/>
          <w:color w:val="FF0000"/>
          <w:highlight w:val="none"/>
          <w:lang w:val="en-US" w:eastAsia="zh-CN"/>
        </w:rPr>
        <w:t>降尘可除去90%的粉尘量，排放量为0.00</w:t>
      </w:r>
      <w:r>
        <w:rPr>
          <w:rFonts w:hint="eastAsia" w:eastAsia="宋体"/>
          <w:color w:val="FF0000"/>
          <w:highlight w:val="none"/>
          <w:lang w:val="en-US" w:eastAsia="zh-CN"/>
        </w:rPr>
        <w:t>021</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11</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8.14</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3</w:t>
      </w:r>
      <w:r>
        <w:rPr>
          <w:rFonts w:hint="eastAsia" w:eastAsia="宋体"/>
          <w:color w:val="FF0000"/>
          <w:highlight w:val="none"/>
          <w:lang w:eastAsia="zh-CN"/>
        </w:rPr>
        <w:t>）</w:t>
      </w:r>
      <w:r>
        <w:rPr>
          <w:rFonts w:hint="eastAsia" w:eastAsia="宋体"/>
          <w:color w:val="FF0000"/>
          <w:highlight w:val="none"/>
          <w:lang w:val="en-US" w:eastAsia="zh-CN"/>
        </w:rPr>
        <w:t>回填区作业面粉尘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废石以及脱水底泥回填</w:t>
      </w:r>
      <w:r>
        <w:rPr>
          <w:rFonts w:hint="eastAsia" w:ascii="Times New Roman" w:hAnsi="Times New Roman" w:eastAsia="宋体"/>
          <w:color w:val="FF0000"/>
          <w:highlight w:val="none"/>
          <w:lang w:val="en-US" w:eastAsia="zh-CN"/>
        </w:rPr>
        <w:t>过程</w:t>
      </w:r>
      <w:r>
        <w:rPr>
          <w:rFonts w:hint="eastAsia" w:eastAsia="宋体"/>
          <w:color w:val="FF0000"/>
          <w:highlight w:val="none"/>
          <w:lang w:val="en-US" w:eastAsia="zh-CN"/>
        </w:rPr>
        <w:t>中，运输和回填整平过程中</w:t>
      </w:r>
      <w:r>
        <w:rPr>
          <w:rFonts w:hint="eastAsia" w:ascii="Times New Roman" w:hAnsi="Times New Roman" w:eastAsia="宋体"/>
          <w:color w:val="FF0000"/>
          <w:highlight w:val="none"/>
          <w:lang w:val="en-US" w:eastAsia="zh-CN"/>
        </w:rPr>
        <w:t>会产生粉尘，参考《逸散性工业粉尘控制技术》中的经验估算，</w:t>
      </w:r>
      <w:r>
        <w:rPr>
          <w:rFonts w:hint="eastAsia" w:eastAsia="宋体"/>
          <w:color w:val="FF0000"/>
          <w:highlight w:val="none"/>
          <w:lang w:val="en-US" w:eastAsia="zh-CN"/>
        </w:rPr>
        <w:t>回填区作业面较小，用于回填</w:t>
      </w:r>
      <w:r>
        <w:rPr>
          <w:rFonts w:hint="eastAsia" w:ascii="Times New Roman" w:hAnsi="Times New Roman" w:eastAsia="宋体"/>
          <w:color w:val="FF0000"/>
          <w:highlight w:val="none"/>
          <w:lang w:val="en-US" w:eastAsia="zh-CN"/>
        </w:rPr>
        <w:t>的为</w:t>
      </w:r>
      <w:r>
        <w:rPr>
          <w:rFonts w:hint="eastAsia" w:eastAsia="宋体"/>
          <w:color w:val="FF0000"/>
          <w:highlight w:val="none"/>
          <w:lang w:val="en-US" w:eastAsia="zh-CN"/>
        </w:rPr>
        <w:t>石子及脱水底泥</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石子和脱水底泥基本不起尘，主要是回填时，装卸运输过程会产生粉尘</w:t>
      </w:r>
      <w:r>
        <w:rPr>
          <w:rFonts w:hint="eastAsia" w:ascii="Times New Roman" w:hAnsi="Times New Roman" w:eastAsia="宋体"/>
          <w:color w:val="FF0000"/>
          <w:highlight w:val="none"/>
          <w:lang w:val="en-US" w:eastAsia="zh-CN"/>
        </w:rPr>
        <w:t>，逸散尘量为0.0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废石、脱水底泥年周转量为5096t/a</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0.00025</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针对回填区起尘，通过采取降低作业面以及洒水抑尘方式降尘，</w:t>
      </w:r>
      <w:r>
        <w:rPr>
          <w:rFonts w:hint="eastAsia" w:ascii="Times New Roman" w:hAnsi="Times New Roman" w:eastAsia="宋体"/>
          <w:color w:val="FF0000"/>
          <w:highlight w:val="none"/>
          <w:lang w:val="en-US" w:eastAsia="zh-CN"/>
        </w:rPr>
        <w:t>可除去</w:t>
      </w:r>
      <w:r>
        <w:rPr>
          <w:rFonts w:hint="eastAsia" w:eastAsia="宋体"/>
          <w:color w:val="FF0000"/>
          <w:highlight w:val="none"/>
          <w:lang w:val="en-US" w:eastAsia="zh-CN"/>
        </w:rPr>
        <w:t>5</w:t>
      </w:r>
      <w:r>
        <w:rPr>
          <w:rFonts w:hint="eastAsia" w:ascii="Times New Roman" w:hAnsi="Times New Roman" w:eastAsia="宋体"/>
          <w:color w:val="FF0000"/>
          <w:highlight w:val="none"/>
          <w:lang w:val="en-US" w:eastAsia="zh-CN"/>
        </w:rPr>
        <w:t>0%的粉尘量，排放量为0.00</w:t>
      </w:r>
      <w:r>
        <w:rPr>
          <w:rFonts w:hint="eastAsia" w:eastAsia="宋体"/>
          <w:color w:val="FF0000"/>
          <w:highlight w:val="none"/>
          <w:lang w:val="en-US" w:eastAsia="zh-CN"/>
        </w:rPr>
        <w:t>0125</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065</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0.07</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筛分工序粉尘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yellow"/>
        </w:rPr>
      </w:pPr>
      <w:r>
        <w:rPr>
          <w:rFonts w:hint="eastAsia" w:eastAsia="宋体"/>
          <w:color w:val="FF0000"/>
          <w:highlight w:val="none"/>
          <w:lang w:val="en-US" w:eastAsia="zh-CN"/>
        </w:rPr>
        <w:t>原料砂筛分</w:t>
      </w:r>
      <w:r>
        <w:rPr>
          <w:rFonts w:hint="eastAsia" w:ascii="Times New Roman" w:hAnsi="Times New Roman" w:eastAsia="宋体"/>
          <w:color w:val="FF0000"/>
          <w:highlight w:val="none"/>
          <w:lang w:val="en-US" w:eastAsia="zh-CN"/>
        </w:rPr>
        <w:t>过程会产生粉尘，</w:t>
      </w:r>
      <w:r>
        <w:rPr>
          <w:rFonts w:hint="eastAsia" w:eastAsia="宋体"/>
          <w:color w:val="FF0000"/>
          <w:highlight w:val="none"/>
          <w:lang w:val="en-US" w:eastAsia="zh-CN"/>
        </w:rPr>
        <w:t>原料砂含水率较高，不易起尘，</w:t>
      </w:r>
      <w:r>
        <w:rPr>
          <w:rFonts w:hint="eastAsia" w:ascii="Times New Roman" w:hAnsi="Times New Roman" w:eastAsia="宋体"/>
          <w:color w:val="FF0000"/>
          <w:highlight w:val="none"/>
          <w:lang w:val="en-US" w:eastAsia="zh-CN"/>
        </w:rPr>
        <w:t>参考《逸散性工业粉尘控制技术》中的经验估算，</w:t>
      </w:r>
      <w:r>
        <w:rPr>
          <w:rFonts w:hint="eastAsia" w:eastAsia="宋体"/>
          <w:color w:val="FF0000"/>
          <w:highlight w:val="none"/>
          <w:lang w:val="en-US" w:eastAsia="zh-CN"/>
        </w:rPr>
        <w:t>原料砂</w:t>
      </w:r>
      <w:r>
        <w:rPr>
          <w:rFonts w:hint="eastAsia" w:ascii="Times New Roman" w:hAnsi="Times New Roman" w:eastAsia="宋体"/>
          <w:color w:val="FF0000"/>
          <w:highlight w:val="none"/>
          <w:lang w:val="en-US" w:eastAsia="zh-CN"/>
        </w:rPr>
        <w:t>的逸散尘量为0.</w:t>
      </w:r>
      <w:r>
        <w:rPr>
          <w:rFonts w:hint="eastAsia" w:eastAsia="宋体"/>
          <w:color w:val="FF0000"/>
          <w:highlight w:val="none"/>
          <w:lang w:val="en-US" w:eastAsia="zh-CN"/>
        </w:rPr>
        <w:t>0000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原料砂年处理量为4</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，即51200t/a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0.00256</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通过采取雾炮降尘、降低作业面、大风天气停止作业等措施后，降尘量为99%，采场扬尘降为0.0000256t/a（0.000013kg/h）。</w:t>
      </w:r>
      <w:r>
        <w:rPr>
          <w:rFonts w:hint="eastAsia" w:ascii="Times New Roman" w:hAnsi="Times New Roman" w:eastAsia="宋体"/>
          <w:color w:val="FF0000"/>
          <w:highlight w:val="none"/>
          <w:lang w:val="en-US" w:eastAsia="zh-CN"/>
        </w:rPr>
        <w:t>通过预测，最大落地浓度为</w:t>
      </w:r>
      <w:r>
        <w:rPr>
          <w:rFonts w:hint="eastAsia" w:eastAsia="宋体"/>
          <w:color w:val="FF0000"/>
          <w:highlight w:val="none"/>
          <w:lang w:val="en-US" w:eastAsia="zh-CN"/>
        </w:rPr>
        <w:t>62.93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5</w:t>
      </w:r>
      <w:r>
        <w:rPr>
          <w:rFonts w:hint="eastAsia" w:ascii="Times New Roman" w:hAnsi="Times New Roman" w:eastAsia="宋体"/>
          <w:color w:val="auto"/>
          <w:highlight w:val="none"/>
        </w:rPr>
        <w:t>）运输车辆动力起尘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根据有关资料介绍，车辆行驶产生的扬尘，在完全干燥情况下，可按下列经验公式计算：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Q=0.123(V/5)(W/6.8)0.85(P/0.5)0.75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式中：Q——汽车行驶产生的扬尘量，kg/km.辆；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V——汽车速度，km/h；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W——汽车载重量，t；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P——道路表面粉尘量，kg/m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表</w:t>
      </w:r>
      <w:r>
        <w:rPr>
          <w:rFonts w:hint="eastAsia" w:ascii="Times New Roman" w:hAnsi="Times New Roman" w:eastAsia="宋体"/>
          <w:color w:val="auto"/>
          <w:highlight w:val="none"/>
          <w:lang w:val="en-US" w:eastAsia="zh-CN"/>
        </w:rPr>
        <w:t>3.6-</w:t>
      </w:r>
      <w:r>
        <w:rPr>
          <w:rFonts w:hint="eastAsia" w:eastAsia="宋体"/>
          <w:color w:val="auto"/>
          <w:highlight w:val="none"/>
          <w:lang w:val="en-US" w:eastAsia="zh-CN"/>
        </w:rPr>
        <w:t>2</w:t>
      </w:r>
      <w:r>
        <w:rPr>
          <w:rFonts w:hint="eastAsia" w:ascii="Times New Roman" w:hAnsi="Times New Roman" w:eastAsia="宋体"/>
          <w:color w:val="auto"/>
          <w:highlight w:val="none"/>
        </w:rPr>
        <w:t>为一辆载重10t的卡车，通过一段长度为1km的路面时，不同路面清洁程度，不同行驶速度情况下的扬尘量。由此可见，在同样路面清洁程度条件下，车速越快，扬尘量越大；而在同样车速情况下，路面越脏，则扬尘量越大。因此限速行驶和保持路面清洁是减少汽车扬尘的有效手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3.6-</w:t>
      </w:r>
      <w:r>
        <w:rPr>
          <w:rFonts w:hint="eastAsia" w:eastAsia="宋体"/>
          <w:b/>
          <w:bCs/>
          <w:color w:val="auto"/>
          <w:highlight w:val="none"/>
          <w:lang w:val="en-US" w:eastAsia="zh-CN"/>
        </w:rPr>
        <w:t>2</w:t>
      </w:r>
      <w:r>
        <w:rPr>
          <w:rFonts w:hint="eastAsia" w:ascii="Times New Roman" w:hAnsi="Times New Roman" w:eastAsia="宋体"/>
          <w:b/>
          <w:bCs/>
          <w:color w:val="auto"/>
          <w:highlight w:val="none"/>
        </w:rPr>
        <w:t xml:space="preserve"> 在不同车速和路面清洁程度的汽车扬尘    单位：kg/km.辆</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7"/>
        <w:gridCol w:w="1287"/>
        <w:gridCol w:w="1287"/>
        <w:gridCol w:w="1287"/>
        <w:gridCol w:w="1287"/>
        <w:gridCol w:w="1288"/>
        <w:gridCol w:w="12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12" w:space="0"/>
              <w:left w:val="single" w:color="auto" w:sz="6" w:space="0"/>
              <w:bottom w:val="single" w:color="auto" w:sz="6"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righ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车</w:t>
            </w:r>
            <w:r>
              <w:rPr>
                <w:rFonts w:hint="eastAsia" w:ascii="Times New Roman" w:hAnsi="Times New Roman" w:eastAsia="宋体"/>
                <w:color w:val="auto"/>
                <w:sz w:val="21"/>
                <w:szCs w:val="21"/>
                <w:highlight w:val="none"/>
              </w:rPr>
              <w:t>速</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0.051056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0.085865</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0.116382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0.144408</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0.170715</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0.102112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w:t>
            </w:r>
            <w:r>
              <w:rPr>
                <w:rFonts w:hint="eastAsia" w:eastAsia="宋体"/>
                <w:color w:val="auto"/>
                <w:sz w:val="21"/>
                <w:szCs w:val="21"/>
                <w:highlight w:val="none"/>
                <w:lang w:val="en-US" w:eastAsia="zh-CN"/>
              </w:rPr>
              <w:t>3</w:t>
            </w:r>
            <w:r>
              <w:rPr>
                <w:rFonts w:hint="eastAsia" w:ascii="Times New Roman" w:hAnsi="Times New Roman" w:eastAsia="宋体"/>
                <w:color w:val="auto"/>
                <w:sz w:val="21"/>
                <w:szCs w:val="21"/>
                <w:highlight w:val="none"/>
              </w:rPr>
              <w:t>1731</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0.232764</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0.288815</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0.341431</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0.153167</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0.257596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0.349146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0.433223</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0.512146</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25（km/h）</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0.255279</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0.429326</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0.581910</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0.722038</w:t>
            </w:r>
          </w:p>
        </w:tc>
        <w:tc>
          <w:tcPr>
            <w:tcW w:w="1288"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0.853577</w:t>
            </w:r>
          </w:p>
        </w:tc>
        <w:tc>
          <w:tcPr>
            <w:tcW w:w="1288" w:type="dxa"/>
            <w:tcBorders>
              <w:top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1.435339</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本项目车辆在厂区内行驶距离按1</w:t>
      </w:r>
      <w:r>
        <w:rPr>
          <w:rFonts w:hint="eastAsia" w:eastAsia="宋体"/>
          <w:color w:val="auto"/>
          <w:highlight w:val="none"/>
          <w:lang w:val="en-US" w:eastAsia="zh-CN"/>
        </w:rPr>
        <w:t>5</w:t>
      </w:r>
      <w:r>
        <w:rPr>
          <w:rFonts w:hint="eastAsia" w:ascii="Times New Roman" w:hAnsi="Times New Roman" w:eastAsia="宋体"/>
          <w:color w:val="auto"/>
          <w:highlight w:val="none"/>
        </w:rPr>
        <w:t>0m计，平均每天发车空、重载各</w:t>
      </w:r>
      <w:r>
        <w:rPr>
          <w:rFonts w:hint="eastAsia" w:eastAsia="宋体"/>
          <w:color w:val="auto"/>
          <w:highlight w:val="none"/>
          <w:lang w:val="en-US" w:eastAsia="zh-CN"/>
        </w:rPr>
        <w:t>10</w:t>
      </w:r>
      <w:r>
        <w:rPr>
          <w:rFonts w:hint="eastAsia" w:ascii="Times New Roman" w:hAnsi="Times New Roman" w:eastAsia="宋体"/>
          <w:color w:val="auto"/>
          <w:highlight w:val="none"/>
        </w:rPr>
        <w:t>次，空车重约10t，重车重约</w:t>
      </w:r>
      <w:r>
        <w:rPr>
          <w:rFonts w:hint="eastAsia" w:eastAsia="宋体"/>
          <w:color w:val="auto"/>
          <w:highlight w:val="none"/>
          <w:lang w:val="en-US" w:eastAsia="zh-CN"/>
        </w:rPr>
        <w:t>40</w:t>
      </w:r>
      <w:r>
        <w:rPr>
          <w:rFonts w:hint="eastAsia" w:ascii="Times New Roman" w:hAnsi="Times New Roman" w:eastAsia="宋体"/>
          <w:color w:val="auto"/>
          <w:highlight w:val="none"/>
        </w:rPr>
        <w:t>t，均以速度1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km/h行驶，道路路况以0.</w:t>
      </w:r>
      <w:r>
        <w:rPr>
          <w:rFonts w:hint="eastAsia" w:eastAsia="宋体"/>
          <w:color w:val="auto"/>
          <w:highlight w:val="none"/>
          <w:lang w:val="en-US" w:eastAsia="zh-CN"/>
        </w:rPr>
        <w:t>2</w:t>
      </w:r>
      <w:r>
        <w:rPr>
          <w:rFonts w:hint="eastAsia" w:ascii="Times New Roman" w:hAnsi="Times New Roman" w:eastAsia="宋体"/>
          <w:color w:val="auto"/>
          <w:highlight w:val="none"/>
        </w:rPr>
        <w:t>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计，则经计算，项目汽车动力起尘量为</w:t>
      </w:r>
      <w:r>
        <w:rPr>
          <w:rFonts w:hint="eastAsia" w:ascii="Times New Roman" w:hAnsi="Times New Roman" w:eastAsia="宋体"/>
          <w:color w:val="auto"/>
          <w:highlight w:val="none"/>
          <w:lang w:val="en-US" w:eastAsia="zh-CN"/>
        </w:rPr>
        <w:t>0.</w:t>
      </w:r>
      <w:r>
        <w:rPr>
          <w:rFonts w:hint="eastAsia" w:eastAsia="宋体"/>
          <w:color w:val="auto"/>
          <w:highlight w:val="none"/>
          <w:lang w:val="en-US" w:eastAsia="zh-CN"/>
        </w:rPr>
        <w:t>063</w:t>
      </w:r>
      <w:r>
        <w:rPr>
          <w:rFonts w:hint="eastAsia" w:ascii="Times New Roman" w:hAnsi="Times New Roman" w:eastAsia="宋体"/>
          <w:color w:val="auto"/>
          <w:highlight w:val="none"/>
        </w:rPr>
        <w:t>t/a。针对以上情况，要求项目建设方对道路进行</w:t>
      </w:r>
      <w:r>
        <w:rPr>
          <w:rFonts w:hint="eastAsia" w:ascii="Times New Roman" w:hAnsi="Times New Roman" w:eastAsia="宋体"/>
          <w:color w:val="auto"/>
          <w:highlight w:val="none"/>
          <w:lang w:eastAsia="zh-CN"/>
        </w:rPr>
        <w:t>山皮石压实</w:t>
      </w:r>
      <w:r>
        <w:rPr>
          <w:rFonts w:hint="eastAsia" w:ascii="Times New Roman" w:hAnsi="Times New Roman" w:eastAsia="宋体"/>
          <w:color w:val="auto"/>
          <w:highlight w:val="none"/>
        </w:rPr>
        <w:t>，派专人定期对路面进行洒水，车辆减速行驶，</w:t>
      </w:r>
      <w:r>
        <w:rPr>
          <w:rFonts w:hint="eastAsia" w:ascii="Times New Roman" w:hAnsi="Times New Roman" w:eastAsia="宋体"/>
          <w:color w:val="auto"/>
          <w:highlight w:val="none"/>
          <w:lang w:eastAsia="zh-CN"/>
        </w:rPr>
        <w:t>原料运输车辆</w:t>
      </w:r>
      <w:r>
        <w:rPr>
          <w:rFonts w:hint="eastAsia" w:ascii="Times New Roman" w:hAnsi="Times New Roman" w:eastAsia="宋体"/>
          <w:color w:val="auto"/>
          <w:highlight w:val="none"/>
          <w:lang w:val="en-US" w:eastAsia="zh-CN"/>
        </w:rPr>
        <w:t>100%苫盖，</w:t>
      </w:r>
      <w:r>
        <w:rPr>
          <w:rFonts w:hint="eastAsia" w:ascii="Times New Roman" w:hAnsi="Times New Roman" w:eastAsia="宋体"/>
          <w:color w:val="auto"/>
          <w:highlight w:val="none"/>
        </w:rPr>
        <w:t>采取这一系列措施后，抑尘效率至少可以达到</w:t>
      </w:r>
      <w:r>
        <w:rPr>
          <w:rFonts w:hint="eastAsia" w:ascii="Times New Roman" w:hAnsi="Times New Roman" w:eastAsia="宋体"/>
          <w:color w:val="auto"/>
          <w:highlight w:val="none"/>
          <w:lang w:val="en-US" w:eastAsia="zh-CN"/>
        </w:rPr>
        <w:t>9</w:t>
      </w:r>
      <w:r>
        <w:rPr>
          <w:rFonts w:hint="eastAsia" w:eastAsia="宋体"/>
          <w:color w:val="auto"/>
          <w:highlight w:val="none"/>
          <w:lang w:val="en-US" w:eastAsia="zh-CN"/>
        </w:rPr>
        <w:t>9</w:t>
      </w:r>
      <w:r>
        <w:rPr>
          <w:rFonts w:hint="eastAsia" w:ascii="Times New Roman" w:hAnsi="Times New Roman" w:eastAsia="宋体"/>
          <w:color w:val="auto"/>
          <w:highlight w:val="none"/>
        </w:rPr>
        <w:t>%，则起尘量降为</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0063</w:t>
      </w:r>
      <w:r>
        <w:rPr>
          <w:rFonts w:hint="eastAsia" w:ascii="Times New Roman" w:hAnsi="Times New Roman" w:eastAsia="宋体"/>
          <w:color w:val="auto"/>
          <w:highlight w:val="none"/>
        </w:rPr>
        <w:t>t/a</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00328</w:t>
      </w:r>
      <w:r>
        <w:rPr>
          <w:rFonts w:hint="eastAsia" w:ascii="Times New Roman" w:hAnsi="Times New Roman" w:eastAsia="宋体"/>
          <w:color w:val="auto"/>
          <w:highlight w:val="none"/>
          <w:lang w:val="en-US" w:eastAsia="zh-CN"/>
        </w:rPr>
        <w:t>kg/h</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，浓度为</w:t>
      </w:r>
      <w:r>
        <w:rPr>
          <w:rFonts w:hint="eastAsia" w:eastAsia="宋体"/>
          <w:color w:val="auto"/>
          <w:highlight w:val="none"/>
          <w:lang w:val="en-US" w:eastAsia="zh-CN"/>
        </w:rPr>
        <w:t>58.53</w:t>
      </w:r>
      <w:r>
        <w:rPr>
          <w:rFonts w:hint="default" w:ascii="Times New Roman" w:hAnsi="Times New Roman" w:eastAsia="宋体" w:cs="Times New Roman"/>
          <w:color w:val="auto"/>
          <w:highlight w:val="none"/>
          <w:lang w:val="en-US" w:eastAsia="zh-CN"/>
        </w:rPr>
        <w:t>μ</w:t>
      </w:r>
      <w:r>
        <w:rPr>
          <w:rFonts w:hint="eastAsia" w:ascii="Times New Roman" w:hAnsi="Times New Roman" w:eastAsia="宋体"/>
          <w:color w:val="auto"/>
          <w:highlight w:val="none"/>
        </w:rPr>
        <w:t>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排放浓度能够满足</w:t>
      </w:r>
      <w:r>
        <w:rPr>
          <w:rFonts w:hint="eastAsia" w:ascii="Times New Roman" w:hAnsi="Times New Roman" w:eastAsia="宋体"/>
          <w:color w:val="auto"/>
          <w:highlight w:val="none"/>
        </w:rPr>
        <w:t>《大气污染物综合排放标准》（GB16297-1996）表2中的</w:t>
      </w:r>
      <w:r>
        <w:rPr>
          <w:rFonts w:hint="eastAsia" w:ascii="Times New Roman" w:hAnsi="Times New Roman" w:eastAsia="宋体"/>
          <w:color w:val="auto"/>
          <w:highlight w:val="none"/>
          <w:lang w:eastAsia="zh-CN"/>
        </w:rPr>
        <w:t>无组织排放</w:t>
      </w:r>
      <w:r>
        <w:rPr>
          <w:rFonts w:hint="eastAsia" w:ascii="Times New Roman" w:hAnsi="Times New Roman" w:eastAsia="宋体"/>
          <w:color w:val="auto"/>
          <w:highlight w:val="none"/>
        </w:rPr>
        <w:t>标准</w:t>
      </w:r>
      <w:r>
        <w:rPr>
          <w:rFonts w:hint="eastAsia" w:ascii="Times New Roman" w:hAnsi="Times New Roman" w:eastAsia="宋体"/>
          <w:color w:val="auto"/>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rPr>
      </w:pPr>
      <w:r>
        <w:rPr>
          <w:rFonts w:hint="eastAsia" w:ascii="Times New Roman" w:hAnsi="Times New Roman" w:eastAsia="宋体"/>
          <w:b/>
          <w:bCs/>
          <w:color w:val="FF0000"/>
          <w:highlight w:val="none"/>
        </w:rPr>
        <w:t>表</w:t>
      </w:r>
      <w:r>
        <w:rPr>
          <w:rFonts w:hint="eastAsia" w:ascii="Times New Roman" w:hAnsi="Times New Roman" w:eastAsia="宋体"/>
          <w:b/>
          <w:bCs/>
          <w:color w:val="FF0000"/>
          <w:highlight w:val="none"/>
          <w:lang w:val="en-US" w:eastAsia="zh-CN"/>
        </w:rPr>
        <w:t>3.6</w:t>
      </w:r>
      <w:r>
        <w:rPr>
          <w:rFonts w:hint="eastAsia" w:ascii="Times New Roman" w:hAnsi="Times New Roman" w:eastAsia="宋体"/>
          <w:b/>
          <w:bCs/>
          <w:color w:val="FF0000"/>
          <w:highlight w:val="none"/>
        </w:rPr>
        <w:t>-</w:t>
      </w:r>
      <w:r>
        <w:rPr>
          <w:rFonts w:hint="eastAsia" w:eastAsia="宋体"/>
          <w:b/>
          <w:bCs/>
          <w:color w:val="FF0000"/>
          <w:highlight w:val="none"/>
          <w:lang w:val="en-US" w:eastAsia="zh-CN"/>
        </w:rPr>
        <w:t>3</w:t>
      </w:r>
      <w:r>
        <w:rPr>
          <w:rFonts w:hint="eastAsia" w:ascii="Times New Roman" w:hAnsi="Times New Roman" w:eastAsia="宋体"/>
          <w:b/>
          <w:bCs/>
          <w:color w:val="FF0000"/>
          <w:highlight w:val="none"/>
        </w:rPr>
        <w:tab/>
      </w:r>
      <w:r>
        <w:rPr>
          <w:rFonts w:hint="eastAsia" w:ascii="Times New Roman" w:hAnsi="Times New Roman" w:eastAsia="宋体"/>
          <w:b/>
          <w:bCs/>
          <w:color w:val="FF0000"/>
          <w:highlight w:val="none"/>
        </w:rPr>
        <w:t>废气污染源及排放一览表</w:t>
      </w:r>
    </w:p>
    <w:tbl>
      <w:tblPr>
        <w:tblStyle w:val="35"/>
        <w:tblW w:w="8550" w:type="dxa"/>
        <w:tblInd w:w="51"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1452"/>
        <w:gridCol w:w="836"/>
        <w:gridCol w:w="1657"/>
        <w:gridCol w:w="1223"/>
        <w:gridCol w:w="842"/>
        <w:gridCol w:w="1223"/>
        <w:gridCol w:w="72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0" w:leftChars="-200" w:firstLine="420" w:firstLineChars="20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序号</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污染源</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名称</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污染物</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排放浓度及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排放速率</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治理措施</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规律</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rPr>
              <w:t>高度（m</w:t>
            </w:r>
            <w:r>
              <w:rPr>
                <w:rFonts w:hint="eastAsia" w:ascii="Times New Roman" w:hAnsi="Times New Roman" w:eastAsia="宋体"/>
                <w:color w:val="FF0000"/>
                <w:sz w:val="21"/>
                <w:szCs w:val="21"/>
                <w:highlight w:val="none"/>
                <w:lang w:eastAsia="zh-CN"/>
              </w:rPr>
              <w:t>）</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去向</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1</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露天采场原料砂装卸及堆存粉尘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FF0000"/>
                <w:sz w:val="21"/>
                <w:szCs w:val="21"/>
                <w:highlight w:val="none"/>
              </w:rPr>
            </w:pPr>
            <w:r>
              <w:rPr>
                <w:rFonts w:hint="eastAsia" w:eastAsia="宋体" w:cs="Times New Roman"/>
                <w:color w:val="FF0000"/>
                <w:sz w:val="21"/>
                <w:szCs w:val="21"/>
                <w:highlight w:val="none"/>
                <w:lang w:val="en-US" w:eastAsia="zh-CN"/>
              </w:rPr>
              <w:t>73.63</w:t>
            </w:r>
            <w:r>
              <w:rPr>
                <w:rFonts w:hint="default" w:ascii="Times New Roman" w:hAnsi="Times New Roman" w:eastAsia="宋体" w:cs="Times New Roman"/>
                <w:color w:val="FF0000"/>
                <w:sz w:val="21"/>
                <w:szCs w:val="21"/>
                <w:highlight w:val="none"/>
                <w:lang w:val="en-US" w:eastAsia="zh-CN"/>
              </w:rPr>
              <w:t>μg/m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eastAsia" w:eastAsia="宋体"/>
                <w:color w:val="FF0000"/>
                <w:sz w:val="21"/>
                <w:szCs w:val="21"/>
                <w:highlight w:val="none"/>
                <w:lang w:val="en-US" w:eastAsia="zh-CN"/>
              </w:rPr>
              <w:t>0.00384t/a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eastAsia="宋体"/>
                <w:color w:val="FF0000"/>
                <w:sz w:val="21"/>
                <w:szCs w:val="21"/>
                <w:highlight w:val="none"/>
                <w:lang w:val="en-US" w:eastAsia="zh-CN"/>
              </w:rPr>
              <w:t>喷雾</w:t>
            </w:r>
            <w:r>
              <w:rPr>
                <w:rFonts w:hint="eastAsia" w:ascii="Times New Roman" w:hAnsi="Times New Roman" w:eastAsia="宋体"/>
                <w:color w:val="FF0000"/>
                <w:sz w:val="21"/>
                <w:szCs w:val="21"/>
                <w:highlight w:val="none"/>
              </w:rPr>
              <w:t>抑尘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2</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成品砂</w:t>
            </w:r>
            <w:r>
              <w:rPr>
                <w:rFonts w:hint="eastAsia" w:ascii="Times New Roman" w:hAnsi="Times New Roman" w:eastAsia="宋体"/>
                <w:color w:val="FF0000"/>
                <w:sz w:val="21"/>
                <w:szCs w:val="21"/>
                <w:highlight w:val="none"/>
                <w:lang w:eastAsia="zh-CN"/>
              </w:rPr>
              <w:t>堆存及装卸粉尘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FF0000"/>
                <w:sz w:val="21"/>
                <w:szCs w:val="21"/>
                <w:highlight w:val="yellow"/>
                <w:lang w:val="en-US" w:eastAsia="zh-CN"/>
              </w:rPr>
            </w:pPr>
            <w:r>
              <w:rPr>
                <w:rFonts w:hint="eastAsia" w:cs="Times New Roman"/>
                <w:color w:val="FF0000"/>
                <w:sz w:val="21"/>
                <w:szCs w:val="21"/>
                <w:highlight w:val="none"/>
                <w:lang w:val="en-US" w:eastAsia="zh-CN"/>
              </w:rPr>
              <w:t>8.14</w:t>
            </w:r>
            <w:r>
              <w:rPr>
                <w:rFonts w:hint="default" w:ascii="Times New Roman" w:hAnsi="Times New Roman" w:cs="Times New Roman"/>
                <w:color w:val="FF0000"/>
                <w:sz w:val="21"/>
                <w:szCs w:val="21"/>
                <w:highlight w:val="none"/>
                <w:lang w:val="en-US" w:eastAsia="zh-CN"/>
              </w:rPr>
              <w:t>μg/m</w:t>
            </w:r>
            <w:r>
              <w:rPr>
                <w:rFonts w:hint="default" w:ascii="Times New Roman" w:hAnsi="Times New Roman" w:cs="Times New Roman"/>
                <w:color w:val="FF0000"/>
                <w:sz w:val="21"/>
                <w:szCs w:val="21"/>
                <w:highlight w:val="none"/>
                <w:vertAlign w:val="superscript"/>
                <w:lang w:val="en-US" w:eastAsia="zh-CN"/>
              </w:rPr>
              <w:t>3</w:t>
            </w:r>
            <w:r>
              <w:rPr>
                <w:rFonts w:hint="default" w:ascii="Times New Roman" w:hAnsi="Times New Roman" w:cs="Times New Roman"/>
                <w:color w:val="FF0000"/>
                <w:sz w:val="21"/>
                <w:szCs w:val="21"/>
                <w:highlight w:val="none"/>
                <w:lang w:val="en-US" w:eastAsia="zh-CN"/>
              </w:rPr>
              <w:t>，0.00021t/a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苫盖降尘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回填区作业面粉尘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FF0000"/>
                <w:sz w:val="21"/>
                <w:szCs w:val="21"/>
                <w:highlight w:val="yellow"/>
                <w:lang w:val="en-US" w:eastAsia="zh-CN"/>
              </w:rPr>
            </w:pPr>
            <w:r>
              <w:rPr>
                <w:rFonts w:hint="eastAsia" w:eastAsia="宋体" w:cs="Times New Roman"/>
                <w:color w:val="FF0000"/>
                <w:sz w:val="21"/>
                <w:szCs w:val="21"/>
                <w:highlight w:val="none"/>
                <w:lang w:val="en-US" w:eastAsia="zh-CN"/>
              </w:rPr>
              <w:t>0.07</w:t>
            </w:r>
            <w:r>
              <w:rPr>
                <w:rFonts w:hint="default" w:ascii="Times New Roman" w:hAnsi="Times New Roman" w:eastAsia="宋体" w:cs="Times New Roman"/>
                <w:color w:val="FF0000"/>
                <w:sz w:val="21"/>
                <w:szCs w:val="21"/>
                <w:highlight w:val="none"/>
                <w:lang w:val="en-US" w:eastAsia="zh-CN"/>
              </w:rPr>
              <w:t>μg/m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eastAsia" w:eastAsia="宋体"/>
                <w:color w:val="FF0000"/>
                <w:sz w:val="21"/>
                <w:szCs w:val="21"/>
                <w:highlight w:val="none"/>
                <w:lang w:val="en-US" w:eastAsia="zh-CN"/>
              </w:rPr>
              <w:t>0.000125t/a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洒水降尘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FF0000"/>
                <w:sz w:val="21"/>
                <w:szCs w:val="21"/>
                <w:highlight w:val="none"/>
                <w:lang w:val="en-US"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4</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筛分工序粉尘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FF0000"/>
                <w:sz w:val="21"/>
                <w:szCs w:val="21"/>
                <w:highlight w:val="yellow"/>
                <w:lang w:val="en-US" w:eastAsia="zh-CN"/>
              </w:rPr>
            </w:pPr>
            <w:r>
              <w:rPr>
                <w:rFonts w:hint="eastAsia" w:eastAsia="宋体" w:cs="Times New Roman"/>
                <w:color w:val="FF0000"/>
                <w:sz w:val="21"/>
                <w:szCs w:val="21"/>
                <w:highlight w:val="none"/>
                <w:lang w:val="en-US" w:eastAsia="zh-CN"/>
              </w:rPr>
              <w:t>62.93</w:t>
            </w:r>
            <w:r>
              <w:rPr>
                <w:rFonts w:hint="default" w:ascii="Times New Roman" w:hAnsi="Times New Roman" w:eastAsia="宋体" w:cs="Times New Roman"/>
                <w:color w:val="FF0000"/>
                <w:sz w:val="21"/>
                <w:szCs w:val="21"/>
                <w:highlight w:val="none"/>
                <w:lang w:val="en-US" w:eastAsia="zh-CN"/>
              </w:rPr>
              <w:t>μg/m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eastAsia" w:eastAsia="宋体"/>
                <w:color w:val="FF0000"/>
                <w:sz w:val="21"/>
                <w:szCs w:val="21"/>
                <w:highlight w:val="none"/>
                <w:lang w:val="en-US" w:eastAsia="zh-CN"/>
              </w:rPr>
              <w:t>0.0000256t/a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喷雾降尘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FF0000"/>
                <w:sz w:val="21"/>
                <w:szCs w:val="21"/>
                <w:highlight w:val="none"/>
                <w:lang w:val="en-US"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5</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运输车辆</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FF0000"/>
                <w:sz w:val="21"/>
                <w:szCs w:val="21"/>
                <w:highlight w:val="yellow"/>
                <w:lang w:val="en-US" w:eastAsia="zh-CN"/>
              </w:rPr>
            </w:pPr>
            <w:r>
              <w:rPr>
                <w:rFonts w:hint="eastAsia" w:cs="Times New Roman"/>
                <w:color w:val="FF0000"/>
                <w:sz w:val="21"/>
                <w:szCs w:val="21"/>
                <w:highlight w:val="none"/>
                <w:lang w:val="en-US" w:eastAsia="zh-CN"/>
              </w:rPr>
              <w:t>58.53</w:t>
            </w:r>
            <w:r>
              <w:rPr>
                <w:rFonts w:hint="default" w:ascii="Times New Roman" w:hAnsi="Times New Roman" w:cs="Times New Roman"/>
                <w:color w:val="FF0000"/>
                <w:sz w:val="21"/>
                <w:szCs w:val="21"/>
                <w:highlight w:val="none"/>
                <w:lang w:val="en-US" w:eastAsia="zh-CN"/>
              </w:rPr>
              <w:t>μ</w:t>
            </w:r>
            <w:r>
              <w:rPr>
                <w:rFonts w:hint="default" w:ascii="Times New Roman" w:hAnsi="Times New Roman" w:cs="Times New Roman"/>
                <w:color w:val="FF0000"/>
                <w:sz w:val="21"/>
                <w:szCs w:val="21"/>
                <w:highlight w:val="none"/>
              </w:rPr>
              <w:t>g/m</w:t>
            </w:r>
            <w:r>
              <w:rPr>
                <w:rFonts w:hint="default" w:ascii="Times New Roman" w:hAnsi="Times New Roman" w:cs="Times New Roman"/>
                <w:color w:val="FF0000"/>
                <w:sz w:val="21"/>
                <w:szCs w:val="21"/>
                <w:highlight w:val="none"/>
                <w:vertAlign w:val="superscript"/>
              </w:rPr>
              <w:t>3</w:t>
            </w:r>
            <w:r>
              <w:rPr>
                <w:rFonts w:hint="default" w:ascii="Times New Roman" w:hAnsi="Times New Roman" w:cs="Times New Roman"/>
                <w:color w:val="FF0000"/>
                <w:sz w:val="21"/>
                <w:szCs w:val="21"/>
                <w:highlight w:val="none"/>
                <w:vertAlign w:val="baseline"/>
                <w:lang w:eastAsia="zh-CN"/>
              </w:rPr>
              <w:t>，</w:t>
            </w:r>
            <w:r>
              <w:rPr>
                <w:rFonts w:hint="default" w:ascii="Times New Roman" w:hAnsi="Times New Roman" w:cs="Times New Roman"/>
                <w:color w:val="FF0000"/>
                <w:sz w:val="21"/>
                <w:szCs w:val="21"/>
                <w:highlight w:val="none"/>
                <w:vertAlign w:val="baseline"/>
                <w:lang w:val="en-US" w:eastAsia="zh-CN"/>
              </w:rPr>
              <w:t>0.00063</w:t>
            </w:r>
            <w:r>
              <w:rPr>
                <w:rFonts w:hint="default" w:ascii="Times New Roman" w:hAnsi="Times New Roman" w:cs="Times New Roman"/>
                <w:color w:val="FF0000"/>
                <w:sz w:val="21"/>
                <w:szCs w:val="21"/>
                <w:highlight w:val="none"/>
                <w:vertAlign w:val="baseline"/>
                <w:lang w:eastAsia="zh-CN"/>
              </w:rPr>
              <w:t>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洒水抑尘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color w:val="auto"/>
          <w:highlight w:val="none"/>
        </w:rPr>
      </w:pPr>
      <w:bookmarkStart w:id="122" w:name="2.5.2.4噪声"/>
      <w:bookmarkEnd w:id="122"/>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.2.4 噪声</w:t>
      </w:r>
      <w:r>
        <w:rPr>
          <w:rFonts w:hint="eastAsia" w:ascii="Times New Roman" w:hAnsi="Times New Roman" w:eastAsia="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项目噪声污染源主要是开采矿石过程中各设备工作时产生的机械噪声以及矿石运输过程产生的运输噪声。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8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采矿噪声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auto"/>
          <w:highlight w:val="none"/>
          <w:lang w:val="en-US" w:eastAsia="zh-CN"/>
        </w:rPr>
        <w:t>采矿场地的挖掘机、装载机产生的噪声，</w:t>
      </w:r>
      <w:r>
        <w:rPr>
          <w:rFonts w:hint="eastAsia" w:ascii="Times New Roman" w:hAnsi="Times New Roman" w:eastAsia="宋体"/>
          <w:color w:val="auto"/>
          <w:highlight w:val="none"/>
        </w:rPr>
        <w:t>工业场地的</w:t>
      </w:r>
      <w:r>
        <w:rPr>
          <w:rFonts w:hint="eastAsia" w:eastAsia="宋体"/>
          <w:color w:val="auto"/>
          <w:highlight w:val="none"/>
          <w:lang w:val="en-US" w:eastAsia="zh-CN"/>
        </w:rPr>
        <w:t>洗砂机</w:t>
      </w:r>
      <w:r>
        <w:rPr>
          <w:rFonts w:hint="eastAsia" w:ascii="Times New Roman" w:hAnsi="Times New Roman" w:eastAsia="宋体"/>
          <w:color w:val="auto"/>
          <w:highlight w:val="none"/>
        </w:rPr>
        <w:t>、</w:t>
      </w:r>
      <w:r>
        <w:rPr>
          <w:rFonts w:hint="eastAsia" w:eastAsia="宋体"/>
          <w:color w:val="auto"/>
          <w:highlight w:val="none"/>
          <w:lang w:val="en-US" w:eastAsia="zh-CN"/>
        </w:rPr>
        <w:t>脱水机</w:t>
      </w:r>
      <w:r>
        <w:rPr>
          <w:rFonts w:hint="eastAsia" w:ascii="Times New Roman" w:hAnsi="Times New Roman" w:eastAsia="宋体"/>
          <w:color w:val="auto"/>
          <w:highlight w:val="none"/>
        </w:rPr>
        <w:t>等设备</w:t>
      </w:r>
      <w:r>
        <w:rPr>
          <w:rFonts w:hint="eastAsia" w:eastAsia="宋体"/>
          <w:color w:val="auto"/>
          <w:highlight w:val="none"/>
          <w:lang w:val="en-US" w:eastAsia="zh-CN"/>
        </w:rPr>
        <w:t>噪声</w:t>
      </w:r>
      <w:r>
        <w:rPr>
          <w:rFonts w:hint="eastAsia" w:ascii="Times New Roman" w:hAnsi="Times New Roman" w:eastAsia="宋体"/>
          <w:color w:val="auto"/>
          <w:highlight w:val="none"/>
        </w:rPr>
        <w:t>，其噪声声压级在80～105dB（A）之间，对主要噪声源采取减振、消声等措施，经</w:t>
      </w:r>
      <w:r>
        <w:rPr>
          <w:rFonts w:hint="eastAsia" w:eastAsia="宋体"/>
          <w:color w:val="auto"/>
          <w:highlight w:val="none"/>
          <w:lang w:val="en-US" w:eastAsia="zh-CN"/>
        </w:rPr>
        <w:t>距离衰减</w:t>
      </w:r>
      <w:r>
        <w:rPr>
          <w:rFonts w:hint="eastAsia" w:ascii="Times New Roman" w:hAnsi="Times New Roman" w:eastAsia="宋体"/>
          <w:color w:val="auto"/>
          <w:highlight w:val="none"/>
        </w:rPr>
        <w:t>后，厂界噪声符合《工业企业厂界环境噪声排放标准》（GB12348-2008）2类标准限值的要求。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运输噪声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汽车全速行驶产生的交通噪声在73～82dB(A)之间。本项目原矿外运道路沿途分布有居民，为减轻运输噪声对环境的影响，运输车辆在该路段运输过程中应减速慢行、减少鸣笛，并严禁夜间运输，其产生的噪声对周围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本项目各噪声源及源强见表 </w:t>
      </w:r>
      <w:r>
        <w:rPr>
          <w:rFonts w:hint="eastAsia" w:eastAsia="宋体"/>
          <w:color w:val="auto"/>
          <w:highlight w:val="none"/>
          <w:lang w:val="en-US" w:eastAsia="zh-CN"/>
        </w:rPr>
        <w:t>3.6-4</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 xml:space="preserve">表 </w:t>
      </w:r>
      <w:r>
        <w:rPr>
          <w:rFonts w:hint="eastAsia" w:eastAsia="宋体"/>
          <w:b/>
          <w:bCs/>
          <w:color w:val="auto"/>
          <w:highlight w:val="none"/>
          <w:lang w:val="en-US" w:eastAsia="zh-CN"/>
        </w:rPr>
        <w:t>3.6</w:t>
      </w:r>
      <w:r>
        <w:rPr>
          <w:rFonts w:hint="eastAsia" w:ascii="Times New Roman" w:hAnsi="Times New Roman" w:eastAsia="宋体"/>
          <w:b/>
          <w:bCs/>
          <w:color w:val="auto"/>
          <w:highlight w:val="none"/>
        </w:rPr>
        <w:t>-</w:t>
      </w:r>
      <w:r>
        <w:rPr>
          <w:rFonts w:hint="eastAsia" w:eastAsia="宋体"/>
          <w:b/>
          <w:bCs/>
          <w:color w:val="auto"/>
          <w:highlight w:val="none"/>
          <w:lang w:val="en-US" w:eastAsia="zh-CN"/>
        </w:rPr>
        <w:t>4</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各噪声源及源强一览表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1288"/>
        <w:gridCol w:w="1085"/>
        <w:gridCol w:w="846"/>
        <w:gridCol w:w="1139"/>
        <w:gridCol w:w="2032"/>
        <w:gridCol w:w="161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号</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噪声源</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设备名称</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数量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（台）</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声压级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dB(A)</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治理措施</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采取措施后噪</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声级 dB(A)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2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采砂场</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挖掘机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90</w:t>
            </w:r>
            <w:r>
              <w:rPr>
                <w:rFonts w:hint="eastAsia" w:ascii="Times New Roman" w:hAnsi="Times New Roman" w:eastAsia="宋体"/>
                <w:color w:val="auto"/>
                <w:sz w:val="21"/>
                <w:szCs w:val="21"/>
                <w:highlight w:val="none"/>
              </w:rPr>
              <w:t>~95</w:t>
            </w:r>
          </w:p>
        </w:tc>
        <w:tc>
          <w:tcPr>
            <w:tcW w:w="20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选用低噪声设备</w:t>
            </w:r>
            <w:r>
              <w:rPr>
                <w:rFonts w:hint="eastAsia" w:eastAsia="宋体"/>
                <w:color w:val="auto"/>
                <w:sz w:val="21"/>
                <w:szCs w:val="21"/>
                <w:highlight w:val="none"/>
                <w:lang w:eastAsia="zh-CN"/>
              </w:rPr>
              <w:t>，</w:t>
            </w:r>
            <w:r>
              <w:rPr>
                <w:rFonts w:hint="eastAsia" w:eastAsia="宋体"/>
                <w:color w:val="auto"/>
                <w:sz w:val="21"/>
                <w:szCs w:val="21"/>
                <w:highlight w:val="none"/>
                <w:lang w:val="en-US" w:eastAsia="zh-CN"/>
              </w:rPr>
              <w:t>位于采坑内，经距离衰减</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80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2</w:t>
            </w:r>
          </w:p>
        </w:tc>
        <w:tc>
          <w:tcPr>
            <w:tcW w:w="12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val="en-US" w:eastAsia="zh-CN"/>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装载机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90</w:t>
            </w:r>
            <w:r>
              <w:rPr>
                <w:rFonts w:hint="eastAsia" w:ascii="Times New Roman" w:hAnsi="Times New Roman" w:eastAsia="宋体"/>
                <w:color w:val="auto"/>
                <w:sz w:val="21"/>
                <w:szCs w:val="21"/>
                <w:highlight w:val="none"/>
              </w:rPr>
              <w:t>~95</w:t>
            </w:r>
          </w:p>
        </w:tc>
        <w:tc>
          <w:tcPr>
            <w:tcW w:w="2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80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3</w:t>
            </w:r>
          </w:p>
        </w:tc>
        <w:tc>
          <w:tcPr>
            <w:tcW w:w="12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工业场地</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洗砂机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85~95</w:t>
            </w:r>
          </w:p>
        </w:tc>
        <w:tc>
          <w:tcPr>
            <w:tcW w:w="20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选用低噪声设备，各强噪声设</w:t>
            </w:r>
            <w:r>
              <w:rPr>
                <w:rFonts w:hint="eastAsia" w:eastAsia="宋体"/>
                <w:color w:val="auto"/>
                <w:sz w:val="21"/>
                <w:szCs w:val="21"/>
                <w:highlight w:val="none"/>
                <w:lang w:val="en-US" w:eastAsia="zh-CN"/>
              </w:rPr>
              <w:t>减震垫</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4</w:t>
            </w:r>
          </w:p>
        </w:tc>
        <w:tc>
          <w:tcPr>
            <w:tcW w:w="12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脱水机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85~95</w:t>
            </w:r>
          </w:p>
        </w:tc>
        <w:tc>
          <w:tcPr>
            <w:tcW w:w="2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5</w:t>
            </w:r>
          </w:p>
        </w:tc>
        <w:tc>
          <w:tcPr>
            <w:tcW w:w="12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污泥泵</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2</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2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6</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交通噪声</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运输车辆</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eastAsia="zh-CN"/>
              </w:rPr>
            </w:pPr>
            <w:r>
              <w:rPr>
                <w:rFonts w:hint="eastAsia" w:eastAsia="宋体"/>
                <w:color w:val="auto"/>
                <w:sz w:val="21"/>
                <w:szCs w:val="21"/>
                <w:highlight w:val="none"/>
                <w:lang w:val="en-US" w:eastAsia="zh-CN"/>
              </w:rPr>
              <w:t>3</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73～82</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减速慢行、减少鸣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笛，并严禁夜间运输</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65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23" w:name="2.5.2.5固体废物"/>
      <w:bookmarkEnd w:id="123"/>
      <w:r>
        <w:rPr>
          <w:rFonts w:hint="eastAsia" w:ascii="Times New Roman" w:hAnsi="Times New Roman" w:eastAsia="宋体"/>
          <w:b/>
          <w:bCs/>
          <w:color w:val="auto"/>
          <w:highlight w:val="none"/>
          <w:lang w:val="en-US" w:eastAsia="zh-CN"/>
        </w:rPr>
        <w:t xml:space="preserve">3.6.2.5 固体废物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1</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废石</w:t>
      </w:r>
      <w:r>
        <w:rPr>
          <w:rFonts w:hint="eastAsia" w:eastAsia="宋体"/>
          <w:color w:val="FF0000"/>
          <w:highlight w:val="none"/>
          <w:lang w:val="en-US" w:eastAsia="zh-CN"/>
        </w:rPr>
        <w:t>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扩建</w:t>
      </w:r>
      <w:r>
        <w:rPr>
          <w:rFonts w:hint="eastAsia" w:ascii="Times New Roman" w:hAnsi="Times New Roman" w:eastAsia="宋体"/>
          <w:color w:val="FF0000"/>
          <w:highlight w:val="none"/>
          <w:lang w:val="en-US" w:eastAsia="zh-CN"/>
        </w:rPr>
        <w:t>后</w:t>
      </w:r>
      <w:r>
        <w:rPr>
          <w:rFonts w:hint="eastAsia" w:eastAsia="宋体"/>
          <w:color w:val="FF0000"/>
          <w:highlight w:val="none"/>
          <w:lang w:val="en-US" w:eastAsia="zh-CN"/>
        </w:rPr>
        <w:t>新增洗砂工序，在筛分工序分离出石子，产量为4000m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/a，10000t/a（按2.5g/cm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w:t>
      </w:r>
      <w:r>
        <w:rPr>
          <w:rFonts w:hint="eastAsia" w:eastAsia="宋体"/>
          <w:color w:val="FF0000"/>
          <w:highlight w:val="none"/>
          <w:lang w:val="en-US" w:eastAsia="zh-CN"/>
        </w:rPr>
        <w:t>约90%可以出售，剩余无法出售的回填采空区。本环评要求，能出售利用的优先出售利用，不能出售的再</w:t>
      </w:r>
      <w:r>
        <w:rPr>
          <w:rFonts w:hint="eastAsia" w:ascii="Times New Roman" w:hAnsi="Times New Roman" w:eastAsia="宋体"/>
          <w:color w:val="FF0000"/>
          <w:highlight w:val="none"/>
        </w:rPr>
        <w:t>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脱水底泥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洗砂工序产生的洗砂废水经沉淀池处理后，回用于洗砂工序，沉淀池底泥经浓缩脱水机脱水后，产量为3200m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/a，4096t/a（按1.28g/cm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最终全部回填到采空区。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废石子、脱水底泥优先回填至采坑1，待采坑1填满后，将采坑2成品堆场（采空区）作为回填区回填，成品堆场沿着采坑2推进。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新增劳动定员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生活垃圾产生量按0.5kg/人/天测算，现有劳动定员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人，年工作 240 天，生活垃圾产生量为</w:t>
      </w:r>
      <w:r>
        <w:rPr>
          <w:rFonts w:hint="eastAsia" w:eastAsia="宋体"/>
          <w:color w:val="auto"/>
          <w:highlight w:val="none"/>
          <w:lang w:val="en-US" w:eastAsia="zh-CN"/>
        </w:rPr>
        <w:t>1.44</w:t>
      </w:r>
      <w:r>
        <w:rPr>
          <w:rFonts w:hint="eastAsia" w:ascii="Times New Roman" w:hAnsi="Times New Roman" w:eastAsia="宋体"/>
          <w:color w:val="auto"/>
          <w:highlight w:val="none"/>
        </w:rPr>
        <w:t>t/a，集中收集后，按环卫部门要求统一处理。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表土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开采过程中未开采区会产生表土，年产生量约为3500m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，堆放于工业场地西侧新设表土堆场，用于矿区覆土。表土堆场采取苫盖措施。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项目固体废物产生情况见表 </w:t>
      </w:r>
      <w:r>
        <w:rPr>
          <w:rFonts w:hint="eastAsia" w:eastAsia="宋体"/>
          <w:color w:val="auto"/>
          <w:highlight w:val="none"/>
          <w:lang w:val="en-US" w:eastAsia="zh-CN"/>
        </w:rPr>
        <w:t>3.6-5</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 xml:space="preserve">表 </w:t>
      </w:r>
      <w:r>
        <w:rPr>
          <w:rFonts w:hint="eastAsia" w:eastAsia="宋体"/>
          <w:b/>
          <w:bCs/>
          <w:color w:val="auto"/>
          <w:highlight w:val="none"/>
          <w:lang w:val="en-US" w:eastAsia="zh-CN"/>
        </w:rPr>
        <w:t>3.6-5</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项目固体废物产生情况一览表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1664"/>
        <w:gridCol w:w="2268"/>
        <w:gridCol w:w="24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产生量（t/a）</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处置方式</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固废性质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eastAsia="zh-CN"/>
              </w:rPr>
            </w:pPr>
            <w:r>
              <w:rPr>
                <w:rFonts w:hint="eastAsia" w:eastAsia="宋体"/>
                <w:color w:val="auto"/>
                <w:sz w:val="21"/>
                <w:szCs w:val="21"/>
                <w:highlight w:val="none"/>
                <w:lang w:val="en-US" w:eastAsia="zh-CN"/>
              </w:rPr>
              <w:t>废石子</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rPr>
            </w:pPr>
            <w:r>
              <w:rPr>
                <w:rFonts w:hint="eastAsia" w:eastAsia="宋体"/>
                <w:color w:val="auto"/>
                <w:sz w:val="21"/>
                <w:szCs w:val="21"/>
                <w:highlight w:val="none"/>
                <w:lang w:val="en-US" w:eastAsia="zh-CN"/>
              </w:rPr>
              <w:t>1000</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回填至采空区</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脱水底</w:t>
            </w:r>
            <w:r>
              <w:rPr>
                <w:rFonts w:hint="eastAsia" w:ascii="Times New Roman" w:hAnsi="Times New Roman" w:eastAsia="宋体"/>
                <w:color w:val="auto"/>
                <w:sz w:val="21"/>
                <w:szCs w:val="21"/>
                <w:highlight w:val="none"/>
              </w:rPr>
              <w:t>泥</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4096</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经脱水后，回填至采空区</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生活垃圾</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1.44</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按环卫部门要求处理</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生活垃圾</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表土</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3500</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堆放于表土场</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合计</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14097.44</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24" w:name="_Toc27328"/>
      <w:r>
        <w:rPr>
          <w:rFonts w:hint="eastAsia" w:ascii="Times New Roman" w:hAnsi="Times New Roman" w:eastAsia="宋体"/>
          <w:b/>
          <w:bCs w:val="0"/>
          <w:color w:val="auto"/>
          <w:highlight w:val="none"/>
          <w:lang w:val="en-US" w:eastAsia="zh-CN"/>
        </w:rPr>
        <w:t>3.7 污染物排放清单</w:t>
      </w:r>
      <w:bookmarkEnd w:id="124"/>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本项目排放的污染物包括大气污染物、水污染物、噪声、固废，污染物排放清单见表3.</w:t>
      </w:r>
      <w:r>
        <w:rPr>
          <w:rFonts w:hint="eastAsia" w:eastAsia="宋体"/>
          <w:color w:val="auto"/>
          <w:highlight w:val="none"/>
          <w:lang w:val="en-US" w:eastAsia="zh-CN"/>
        </w:rPr>
        <w:t>7-1</w:t>
      </w:r>
      <w:r>
        <w:rPr>
          <w:rFonts w:hint="eastAsia" w:ascii="Times New Roman" w:hAnsi="Times New Roman" w:eastAsia="宋体"/>
          <w:color w:val="auto"/>
          <w:highlight w:val="none"/>
        </w:rPr>
        <w:t>。</w:t>
      </w:r>
    </w:p>
    <w:p>
      <w:pPr>
        <w:ind w:left="0" w:leftChars="0" w:firstLine="0" w:firstLineChars="0"/>
        <w:rPr>
          <w:rFonts w:hint="eastAsia" w:eastAsia="宋体"/>
          <w:color w:val="auto"/>
          <w:highlight w:val="yellow"/>
          <w:lang w:eastAsia="zh-CN"/>
        </w:rPr>
        <w:sectPr>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1"/>
        <w:rPr>
          <w:rFonts w:eastAsia="宋体"/>
          <w:b/>
          <w:bCs/>
          <w:sz w:val="24"/>
          <w:highlight w:val="none"/>
        </w:rPr>
      </w:pPr>
      <w:r>
        <w:rPr>
          <w:rFonts w:hint="eastAsia" w:eastAsia="宋体"/>
          <w:b/>
          <w:bCs/>
          <w:sz w:val="24"/>
          <w:highlight w:val="none"/>
        </w:rPr>
        <w:t>表</w:t>
      </w:r>
      <w:r>
        <w:rPr>
          <w:rFonts w:hint="eastAsia" w:eastAsia="宋体"/>
          <w:b/>
          <w:bCs/>
          <w:sz w:val="24"/>
          <w:highlight w:val="none"/>
          <w:lang w:val="en-US" w:eastAsia="zh-CN"/>
        </w:rPr>
        <w:t>3.7-1</w:t>
      </w:r>
      <w:r>
        <w:rPr>
          <w:rFonts w:eastAsia="宋体"/>
          <w:b/>
          <w:bCs/>
          <w:sz w:val="24"/>
          <w:highlight w:val="none"/>
        </w:rPr>
        <w:t xml:space="preserve">   </w:t>
      </w:r>
      <w:r>
        <w:rPr>
          <w:rFonts w:hint="eastAsia" w:eastAsia="宋体"/>
          <w:b/>
          <w:bCs/>
          <w:sz w:val="24"/>
          <w:highlight w:val="none"/>
        </w:rPr>
        <w:t>建设项目污染物排放清单一览表</w:t>
      </w:r>
    </w:p>
    <w:tbl>
      <w:tblPr>
        <w:tblStyle w:val="35"/>
        <w:tblW w:w="5000"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593"/>
        <w:gridCol w:w="3237"/>
        <w:gridCol w:w="1271"/>
        <w:gridCol w:w="1271"/>
        <w:gridCol w:w="1271"/>
        <w:gridCol w:w="1272"/>
        <w:gridCol w:w="1272"/>
        <w:gridCol w:w="12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08" w:type="dxa"/>
            <w:gridSpan w:val="2"/>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类别</w:t>
            </w:r>
          </w:p>
        </w:tc>
        <w:tc>
          <w:tcPr>
            <w:tcW w:w="3237" w:type="dxa"/>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w:t>
            </w:r>
          </w:p>
        </w:tc>
        <w:tc>
          <w:tcPr>
            <w:tcW w:w="2542"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污染物的产生</w:t>
            </w:r>
          </w:p>
        </w:tc>
        <w:tc>
          <w:tcPr>
            <w:tcW w:w="2543"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污染物的排放</w:t>
            </w:r>
          </w:p>
        </w:tc>
        <w:tc>
          <w:tcPr>
            <w:tcW w:w="2544"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排放标准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vMerge w:val="continue"/>
            <w:tcBorders>
              <w:tl2br w:val="nil"/>
              <w:tr2bl w:val="nil"/>
            </w:tcBorders>
            <w:vAlign w:val="center"/>
          </w:tcPr>
          <w:p>
            <w:pPr>
              <w:pStyle w:val="121"/>
              <w:rPr>
                <w:rFonts w:ascii="Times New Roman" w:hAnsi="Times New Roman" w:eastAsia="宋体"/>
                <w:highlight w:val="none"/>
              </w:rPr>
            </w:pP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浓度</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产生量</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浓度</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排放量</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浓度</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速率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vMerge w:val="continue"/>
            <w:tcBorders>
              <w:tl2br w:val="nil"/>
              <w:tr2bl w:val="nil"/>
            </w:tcBorders>
            <w:shd w:val="clear" w:color="auto" w:fill="auto"/>
            <w:noWrap/>
            <w:vAlign w:val="center"/>
          </w:tcPr>
          <w:p>
            <w:pPr>
              <w:pStyle w:val="121"/>
              <w:rPr>
                <w:rFonts w:ascii="Times New Roman" w:hAnsi="Times New Roman" w:eastAsia="宋体"/>
                <w:highlight w:val="none"/>
              </w:rPr>
            </w:pP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mg/Nm</w:t>
            </w:r>
            <w:r>
              <w:rPr>
                <w:rFonts w:hint="eastAsia" w:ascii="Times New Roman" w:hAnsi="Times New Roman" w:eastAsia="宋体"/>
                <w:highlight w:val="none"/>
                <w:vertAlign w:val="superscript"/>
              </w:rPr>
              <w:t>3</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t/a</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mg/Nm</w:t>
            </w:r>
            <w:r>
              <w:rPr>
                <w:rFonts w:hint="eastAsia" w:ascii="Times New Roman" w:hAnsi="Times New Roman" w:eastAsia="宋体"/>
                <w:highlight w:val="none"/>
                <w:vertAlign w:val="superscript"/>
              </w:rPr>
              <w:t>3</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t/a</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mg/Nm</w:t>
            </w:r>
            <w:r>
              <w:rPr>
                <w:rFonts w:hint="eastAsia" w:ascii="Times New Roman" w:hAnsi="Times New Roman" w:eastAsia="宋体"/>
                <w:highlight w:val="none"/>
                <w:vertAlign w:val="superscript"/>
              </w:rPr>
              <w:t>3</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restart"/>
            <w:tcBorders>
              <w:tl2br w:val="nil"/>
              <w:tr2bl w:val="nil"/>
            </w:tcBorders>
            <w:shd w:val="clear" w:color="auto" w:fill="auto"/>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大气污染物</w:t>
            </w:r>
          </w:p>
        </w:tc>
        <w:tc>
          <w:tcPr>
            <w:tcW w:w="2593"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eastAsia="宋体"/>
                <w:color w:val="FF0000"/>
                <w:sz w:val="21"/>
                <w:szCs w:val="21"/>
                <w:highlight w:val="none"/>
                <w:lang w:val="en-US" w:eastAsia="zh-CN"/>
              </w:rPr>
              <w:t>露天采场原料砂装卸及堆存粉尘</w:t>
            </w:r>
          </w:p>
        </w:tc>
        <w:tc>
          <w:tcPr>
            <w:tcW w:w="3237"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颗粒物</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7.3</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ascii="Times New Roman" w:hAnsi="Times New Roman" w:eastAsia="宋体"/>
                <w:color w:val="FF0000"/>
                <w:szCs w:val="21"/>
                <w:highlight w:val="none"/>
                <w:lang w:val="en-US" w:eastAsia="zh-CN"/>
              </w:rPr>
              <w:t>0.384</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ascii="Times New Roman" w:hAnsi="Times New Roman" w:eastAsia="宋体"/>
                <w:color w:val="FF0000"/>
                <w:szCs w:val="21"/>
                <w:highlight w:val="none"/>
                <w:lang w:val="en-US" w:eastAsia="zh-CN"/>
              </w:rPr>
              <w:t>0.0</w:t>
            </w:r>
            <w:r>
              <w:rPr>
                <w:rFonts w:hint="eastAsia" w:eastAsia="宋体"/>
                <w:color w:val="FF0000"/>
                <w:szCs w:val="21"/>
                <w:highlight w:val="none"/>
                <w:lang w:val="en-US" w:eastAsia="zh-CN"/>
              </w:rPr>
              <w:t>73</w:t>
            </w:r>
          </w:p>
        </w:tc>
        <w:tc>
          <w:tcPr>
            <w:tcW w:w="1272" w:type="dxa"/>
            <w:tcBorders>
              <w:tl2br w:val="nil"/>
              <w:tr2bl w:val="nil"/>
            </w:tcBorders>
            <w:shd w:val="clear" w:color="auto" w:fill="auto"/>
            <w:vAlign w:val="center"/>
          </w:tcPr>
          <w:p>
            <w:pPr>
              <w:pStyle w:val="121"/>
              <w:rPr>
                <w:rFonts w:ascii="Times New Roman" w:hAnsi="Times New Roman" w:eastAsia="宋体"/>
                <w:color w:val="FF0000"/>
                <w:szCs w:val="21"/>
                <w:highlight w:val="none"/>
              </w:rPr>
            </w:pPr>
            <w:r>
              <w:rPr>
                <w:rFonts w:hint="eastAsia" w:ascii="Times New Roman" w:hAnsi="Times New Roman" w:eastAsia="宋体"/>
                <w:color w:val="FF0000"/>
                <w:szCs w:val="21"/>
                <w:highlight w:val="none"/>
                <w:lang w:val="en-US" w:eastAsia="zh-CN"/>
              </w:rPr>
              <w:t>0.00384</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ascii="Times New Roman" w:hAnsi="Times New Roman" w:eastAsia="宋体"/>
                <w:color w:val="FF0000"/>
                <w:szCs w:val="21"/>
                <w:highlight w:val="none"/>
                <w:lang w:val="en-US" w:eastAsia="zh-CN"/>
              </w:rPr>
              <w:t>1.0</w:t>
            </w:r>
          </w:p>
        </w:tc>
        <w:tc>
          <w:tcPr>
            <w:tcW w:w="1272"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shd w:val="clear" w:color="auto" w:fill="auto"/>
            <w:vAlign w:val="center"/>
          </w:tcPr>
          <w:p>
            <w:pPr>
              <w:pStyle w:val="121"/>
              <w:rPr>
                <w:rFonts w:hint="eastAsia"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hint="default" w:ascii="Times New Roman" w:hAnsi="Times New Roman" w:eastAsia="宋体"/>
                <w:color w:val="FF0000"/>
                <w:sz w:val="21"/>
                <w:szCs w:val="21"/>
                <w:highlight w:val="none"/>
                <w:lang w:val="en-US" w:eastAsia="zh-CN"/>
              </w:rPr>
            </w:pPr>
            <w:r>
              <w:rPr>
                <w:rFonts w:hint="eastAsia" w:eastAsia="宋体"/>
                <w:color w:val="FF0000"/>
                <w:highlight w:val="none"/>
                <w:lang w:val="en-US" w:eastAsia="zh-CN"/>
              </w:rPr>
              <w:t>回填区作业面粉尘</w:t>
            </w:r>
          </w:p>
        </w:tc>
        <w:tc>
          <w:tcPr>
            <w:tcW w:w="3237"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颗粒物</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0.00014</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0.00025</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0.00007</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0.000125</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1.0</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vAlign w:val="center"/>
          </w:tcPr>
          <w:p>
            <w:pPr>
              <w:pStyle w:val="121"/>
              <w:rPr>
                <w:rFonts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sz w:val="21"/>
                <w:szCs w:val="21"/>
                <w:highlight w:val="none"/>
                <w:lang w:val="en-US" w:eastAsia="zh-CN"/>
              </w:rPr>
              <w:t>成品砂</w:t>
            </w:r>
            <w:r>
              <w:rPr>
                <w:rFonts w:hint="eastAsia" w:ascii="Times New Roman" w:hAnsi="Times New Roman" w:eastAsia="宋体"/>
                <w:color w:val="FF0000"/>
                <w:sz w:val="21"/>
                <w:szCs w:val="21"/>
                <w:highlight w:val="none"/>
                <w:lang w:eastAsia="zh-CN"/>
              </w:rPr>
              <w:t>堆存及装卸粉尘</w:t>
            </w:r>
          </w:p>
        </w:tc>
        <w:tc>
          <w:tcPr>
            <w:tcW w:w="3237"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颗粒物</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0.8</w:t>
            </w:r>
          </w:p>
        </w:tc>
        <w:tc>
          <w:tcPr>
            <w:tcW w:w="1271"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lang w:val="en-US" w:eastAsia="zh-CN"/>
              </w:rPr>
              <w:t>0.0021</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0.008</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lang w:val="en-US" w:eastAsia="zh-CN"/>
              </w:rPr>
              <w:t>0.00021</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w:t>
            </w:r>
            <w:r>
              <w:rPr>
                <w:rFonts w:hint="eastAsia" w:ascii="Times New Roman" w:hAnsi="Times New Roman" w:eastAsia="宋体"/>
                <w:color w:val="FF0000"/>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vAlign w:val="center"/>
          </w:tcPr>
          <w:p>
            <w:pPr>
              <w:pStyle w:val="121"/>
              <w:rPr>
                <w:rFonts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hint="eastAsia" w:ascii="Times New Roman" w:hAnsi="Times New Roman" w:eastAsia="宋体"/>
                <w:color w:val="FF0000"/>
                <w:sz w:val="21"/>
                <w:szCs w:val="21"/>
                <w:highlight w:val="none"/>
                <w:lang w:val="en-US" w:eastAsia="zh-CN"/>
              </w:rPr>
            </w:pPr>
            <w:r>
              <w:rPr>
                <w:rFonts w:hint="eastAsia" w:eastAsia="宋体"/>
                <w:color w:val="FF0000"/>
                <w:highlight w:val="none"/>
                <w:lang w:val="en-US" w:eastAsia="zh-CN"/>
              </w:rPr>
              <w:t>筛分工序粉尘</w:t>
            </w:r>
          </w:p>
        </w:tc>
        <w:tc>
          <w:tcPr>
            <w:tcW w:w="3237"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颗粒物</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6.3</w:t>
            </w:r>
          </w:p>
        </w:tc>
        <w:tc>
          <w:tcPr>
            <w:tcW w:w="1271" w:type="dxa"/>
            <w:tcBorders>
              <w:tl2br w:val="nil"/>
              <w:tr2bl w:val="nil"/>
            </w:tcBorders>
            <w:shd w:val="clear" w:color="auto" w:fill="auto"/>
            <w:noWrap/>
            <w:vAlign w:val="center"/>
          </w:tcPr>
          <w:p>
            <w:pPr>
              <w:pStyle w:val="121"/>
              <w:rPr>
                <w:rFonts w:hint="default" w:cs="Times New Roman"/>
                <w:color w:val="FF0000"/>
                <w:sz w:val="21"/>
                <w:szCs w:val="21"/>
                <w:highlight w:val="none"/>
                <w:lang w:val="en-US" w:eastAsia="zh-CN"/>
              </w:rPr>
            </w:pPr>
            <w:r>
              <w:rPr>
                <w:rFonts w:hint="eastAsia" w:cs="Times New Roman"/>
                <w:color w:val="FF0000"/>
                <w:sz w:val="21"/>
                <w:szCs w:val="21"/>
                <w:highlight w:val="none"/>
                <w:lang w:val="en-US" w:eastAsia="zh-CN"/>
              </w:rPr>
              <w:t>0.00256</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0.063</w:t>
            </w:r>
          </w:p>
        </w:tc>
        <w:tc>
          <w:tcPr>
            <w:tcW w:w="1272" w:type="dxa"/>
            <w:tcBorders>
              <w:tl2br w:val="nil"/>
              <w:tr2bl w:val="nil"/>
            </w:tcBorders>
            <w:shd w:val="clear" w:color="auto" w:fill="auto"/>
            <w:noWrap/>
            <w:vAlign w:val="center"/>
          </w:tcPr>
          <w:p>
            <w:pPr>
              <w:pStyle w:val="121"/>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0.0000256</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vAlign w:val="center"/>
          </w:tcPr>
          <w:p>
            <w:pPr>
              <w:pStyle w:val="121"/>
              <w:rPr>
                <w:rFonts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运输扬尘</w:t>
            </w:r>
          </w:p>
        </w:tc>
        <w:tc>
          <w:tcPr>
            <w:tcW w:w="3237"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颗粒物</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6.8</w:t>
            </w:r>
          </w:p>
        </w:tc>
        <w:tc>
          <w:tcPr>
            <w:tcW w:w="1271"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vertAlign w:val="baseline"/>
                <w:lang w:val="en-US" w:eastAsia="zh-CN"/>
              </w:rPr>
              <w:t>0.0063</w:t>
            </w:r>
            <w:r>
              <w:rPr>
                <w:rFonts w:hint="default" w:ascii="Times New Roman" w:hAnsi="Times New Roman" w:cs="Times New Roman"/>
                <w:color w:val="FF0000"/>
                <w:sz w:val="21"/>
                <w:szCs w:val="21"/>
                <w:highlight w:val="none"/>
                <w:vertAlign w:val="baseline"/>
                <w:lang w:eastAsia="zh-CN"/>
              </w:rPr>
              <w:t>t/a</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0.068</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vertAlign w:val="baseline"/>
                <w:lang w:val="en-US" w:eastAsia="zh-CN"/>
              </w:rPr>
              <w:t>0.00063</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w:t>
            </w:r>
            <w:r>
              <w:rPr>
                <w:rFonts w:hint="eastAsia" w:ascii="Times New Roman" w:hAnsi="Times New Roman" w:eastAsia="宋体"/>
                <w:color w:val="FF0000"/>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08" w:type="dxa"/>
            <w:gridSpan w:val="2"/>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固体废物</w:t>
            </w:r>
          </w:p>
        </w:tc>
        <w:tc>
          <w:tcPr>
            <w:tcW w:w="3237" w:type="dxa"/>
            <w:tcBorders>
              <w:tl2br w:val="nil"/>
              <w:tr2bl w:val="nil"/>
            </w:tcBorders>
            <w:shd w:val="clear" w:color="auto" w:fill="auto"/>
            <w:vAlign w:val="center"/>
          </w:tcPr>
          <w:p>
            <w:pPr>
              <w:pStyle w:val="121"/>
              <w:rPr>
                <w:rFonts w:hint="eastAsia" w:ascii="Times New Roman" w:hAnsi="Times New Roman" w:eastAsia="宋体"/>
                <w:highlight w:val="none"/>
                <w:lang w:eastAsia="zh-CN"/>
              </w:rPr>
            </w:pPr>
            <w:r>
              <w:rPr>
                <w:rFonts w:hint="eastAsia" w:ascii="Times New Roman" w:hAnsi="Times New Roman" w:eastAsia="宋体"/>
                <w:highlight w:val="none"/>
                <w:lang w:val="en-US" w:eastAsia="zh-CN"/>
              </w:rPr>
              <w:t>废石子</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1"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eastAsia="宋体"/>
                <w:color w:val="auto"/>
                <w:sz w:val="21"/>
                <w:szCs w:val="21"/>
                <w:highlight w:val="none"/>
                <w:lang w:val="en-US" w:eastAsia="zh-CN"/>
              </w:rPr>
              <w:t>1000</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ascii="Times New Roman" w:hAnsi="Times New Roman" w:eastAsia="宋体"/>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eastAsia="宋体"/>
                <w:color w:val="auto"/>
                <w:sz w:val="21"/>
                <w:szCs w:val="21"/>
                <w:highlight w:val="none"/>
                <w:lang w:val="en-US" w:eastAsia="zh-CN"/>
              </w:rPr>
              <w:t>脱水底</w:t>
            </w:r>
            <w:r>
              <w:rPr>
                <w:rFonts w:hint="eastAsia" w:ascii="Times New Roman" w:hAnsi="Times New Roman" w:eastAsia="宋体"/>
                <w:color w:val="auto"/>
                <w:sz w:val="21"/>
                <w:szCs w:val="21"/>
                <w:highlight w:val="none"/>
              </w:rPr>
              <w:t>泥</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1" w:type="dxa"/>
            <w:tcBorders>
              <w:tl2br w:val="nil"/>
              <w:tr2bl w:val="nil"/>
            </w:tcBorders>
            <w:shd w:val="clear" w:color="auto" w:fill="auto"/>
            <w:vAlign w:val="center"/>
          </w:tcPr>
          <w:p>
            <w:pPr>
              <w:pStyle w:val="121"/>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4096</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ascii="Times New Roman" w:hAnsi="Times New Roman" w:eastAsia="宋体"/>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tcBorders>
              <w:tl2br w:val="nil"/>
              <w:tr2bl w:val="nil"/>
            </w:tcBorders>
            <w:shd w:val="clear" w:color="auto" w:fill="auto"/>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生活垃圾</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1" w:type="dxa"/>
            <w:tcBorders>
              <w:tl2br w:val="nil"/>
              <w:tr2bl w:val="nil"/>
            </w:tcBorders>
            <w:shd w:val="clear" w:color="auto" w:fill="auto"/>
            <w:vAlign w:val="center"/>
          </w:tcPr>
          <w:p>
            <w:pPr>
              <w:pStyle w:val="121"/>
              <w:rPr>
                <w:rFonts w:hint="eastAsia" w:ascii="Times New Roman" w:hAnsi="Times New Roman" w:eastAsia="宋体"/>
                <w:highlight w:val="none"/>
              </w:rPr>
            </w:pPr>
            <w:r>
              <w:rPr>
                <w:rFonts w:hint="eastAsia" w:eastAsia="宋体"/>
                <w:color w:val="auto"/>
                <w:sz w:val="21"/>
                <w:szCs w:val="21"/>
                <w:highlight w:val="none"/>
                <w:lang w:val="en-US" w:eastAsia="zh-CN"/>
              </w:rPr>
              <w:t>1.44</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vAlign w:val="center"/>
          </w:tcPr>
          <w:p>
            <w:pPr>
              <w:pStyle w:val="121"/>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表土</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c>
          <w:tcPr>
            <w:tcW w:w="1271" w:type="dxa"/>
            <w:tcBorders>
              <w:tl2br w:val="nil"/>
              <w:tr2bl w:val="nil"/>
            </w:tcBorders>
            <w:shd w:val="clear" w:color="auto" w:fill="auto"/>
            <w:vAlign w:val="center"/>
          </w:tcPr>
          <w:p>
            <w:pPr>
              <w:pStyle w:val="121"/>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3500</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r>
    </w:tbl>
    <w:p>
      <w:pPr>
        <w:ind w:left="0" w:leftChars="0" w:firstLine="0" w:firstLineChars="0"/>
        <w:rPr>
          <w:rFonts w:hint="eastAsia" w:eastAsia="宋体"/>
          <w:color w:val="auto"/>
          <w:highlight w:val="yellow"/>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highlight w:val="none"/>
          <w:lang w:val="en-US" w:eastAsia="zh-CN"/>
        </w:rPr>
      </w:pPr>
      <w:bookmarkStart w:id="125" w:name="_Toc21805"/>
      <w:r>
        <w:rPr>
          <w:rFonts w:hint="eastAsia" w:ascii="Times New Roman" w:hAnsi="Times New Roman" w:eastAsia="宋体"/>
          <w:b/>
          <w:bCs w:val="0"/>
          <w:color w:val="auto"/>
          <w:highlight w:val="none"/>
          <w:lang w:val="en-US" w:eastAsia="zh-CN"/>
        </w:rPr>
        <w:t>3.8 污染物排放总量</w:t>
      </w:r>
      <w:bookmarkEnd w:id="125"/>
    </w:p>
    <w:p>
      <w:pPr>
        <w:rPr>
          <w:rFonts w:hint="eastAsia" w:ascii="Times New Roman" w:hAnsi="Times New Roman" w:eastAsia="宋体"/>
          <w:sz w:val="24"/>
          <w:szCs w:val="24"/>
          <w:lang w:eastAsia="zh-CN"/>
        </w:rPr>
      </w:pPr>
      <w:r>
        <w:rPr>
          <w:rFonts w:hint="eastAsia" w:ascii="Times New Roman" w:hAnsi="Times New Roman" w:eastAsia="宋体"/>
          <w:sz w:val="24"/>
          <w:szCs w:val="24"/>
        </w:rPr>
        <w:t>本项目运营期</w:t>
      </w:r>
      <w:r>
        <w:rPr>
          <w:rFonts w:hint="eastAsia" w:ascii="Times New Roman" w:hAnsi="Times New Roman" w:eastAsia="宋体"/>
          <w:sz w:val="24"/>
          <w:szCs w:val="24"/>
          <w:lang w:val="en-US" w:eastAsia="zh-CN"/>
        </w:rPr>
        <w:t>生活污水经化粪池处理后，定期委托第三方拉运至朱日和镇污水处理厂进行进一步处理，洗砂</w:t>
      </w:r>
      <w:r>
        <w:rPr>
          <w:rFonts w:hint="eastAsia" w:ascii="Times New Roman" w:hAnsi="Times New Roman" w:eastAsia="宋体"/>
          <w:sz w:val="24"/>
          <w:szCs w:val="24"/>
        </w:rPr>
        <w:t>废水</w:t>
      </w:r>
      <w:r>
        <w:rPr>
          <w:rFonts w:hint="eastAsia" w:ascii="Times New Roman" w:hAnsi="Times New Roman" w:eastAsia="宋体"/>
          <w:sz w:val="24"/>
          <w:szCs w:val="24"/>
          <w:lang w:val="en-US" w:eastAsia="zh-CN"/>
        </w:rPr>
        <w:t>经沉淀池处理后回用于洗砂工序，</w:t>
      </w:r>
      <w:r>
        <w:rPr>
          <w:rFonts w:hint="eastAsia" w:ascii="Times New Roman" w:hAnsi="Times New Roman" w:eastAsia="宋体"/>
          <w:sz w:val="24"/>
          <w:szCs w:val="24"/>
        </w:rPr>
        <w:t>不外排</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项目冬季不生产，无锅炉，无</w:t>
      </w:r>
      <w:r>
        <w:rPr>
          <w:rFonts w:hint="eastAsia" w:ascii="Times New Roman" w:hAnsi="Times New Roman" w:eastAsia="宋体"/>
          <w:sz w:val="24"/>
          <w:szCs w:val="24"/>
        </w:rPr>
        <w:t>SO</w:t>
      </w:r>
      <w:r>
        <w:rPr>
          <w:rFonts w:ascii="Times New Roman" w:hAnsi="Times New Roman" w:eastAsia="宋体"/>
          <w:sz w:val="24"/>
          <w:szCs w:val="24"/>
          <w:vertAlign w:val="subscript"/>
        </w:rPr>
        <w:t>2</w:t>
      </w:r>
      <w:r>
        <w:rPr>
          <w:rFonts w:hint="eastAsia" w:ascii="Times New Roman" w:hAnsi="Times New Roman" w:eastAsia="宋体"/>
          <w:sz w:val="24"/>
          <w:szCs w:val="24"/>
        </w:rPr>
        <w:t>、NO</w:t>
      </w:r>
      <w:r>
        <w:rPr>
          <w:rFonts w:hint="eastAsia" w:ascii="Times New Roman" w:hAnsi="Times New Roman" w:eastAsia="宋体"/>
          <w:sz w:val="24"/>
          <w:szCs w:val="24"/>
          <w:vertAlign w:val="subscript"/>
        </w:rPr>
        <w:t>X</w:t>
      </w:r>
      <w:r>
        <w:rPr>
          <w:rFonts w:hint="eastAsia" w:ascii="Times New Roman" w:hAnsi="Times New Roman" w:eastAsia="宋体"/>
          <w:sz w:val="24"/>
          <w:szCs w:val="24"/>
          <w:vertAlign w:val="baseline"/>
          <w:lang w:val="en-US" w:eastAsia="zh-CN"/>
        </w:rPr>
        <w:t>产生</w:t>
      </w:r>
      <w:r>
        <w:rPr>
          <w:rFonts w:hint="eastAsia" w:ascii="Times New Roman" w:hAnsi="Times New Roman" w:eastAsia="宋体"/>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26" w:name="_Toc3818"/>
      <w:r>
        <w:rPr>
          <w:rFonts w:hint="eastAsia" w:ascii="Times New Roman" w:hAnsi="Times New Roman" w:eastAsia="宋体"/>
          <w:b/>
          <w:bCs w:val="0"/>
          <w:color w:val="auto"/>
          <w:highlight w:val="none"/>
          <w:lang w:val="en-US" w:eastAsia="zh-CN"/>
        </w:rPr>
        <w:t>3.9 本项目运营后污染物排放情况</w:t>
      </w:r>
      <w:bookmarkEnd w:id="126"/>
    </w:p>
    <w:p>
      <w:pPr>
        <w:rPr>
          <w:rFonts w:hint="default" w:ascii="Times New Roman" w:hAnsi="Times New Roman" w:eastAsia="宋体"/>
          <w:sz w:val="24"/>
          <w:szCs w:val="24"/>
          <w:lang w:val="en-US" w:eastAsia="zh-CN"/>
        </w:rPr>
      </w:pPr>
      <w:r>
        <w:rPr>
          <w:rFonts w:hint="eastAsia" w:eastAsia="宋体"/>
          <w:sz w:val="24"/>
          <w:szCs w:val="24"/>
          <w:lang w:val="en-US" w:eastAsia="zh-CN"/>
        </w:rPr>
        <w:t>本项目运营后污染物变化情况见表3.9-1所示。</w:t>
      </w:r>
    </w:p>
    <w:p>
      <w:pPr>
        <w:rPr>
          <w:rFonts w:hint="eastAsia" w:ascii="Times New Roman" w:hAnsi="Times New Roman" w:eastAsia="宋体"/>
          <w:sz w:val="24"/>
          <w:szCs w:val="24"/>
          <w:lang w:eastAsia="zh-CN"/>
        </w:rPr>
      </w:pPr>
    </w:p>
    <w:p>
      <w:pPr>
        <w:rPr>
          <w:rFonts w:hint="eastAsia" w:ascii="Times New Roman" w:hAnsi="Times New Roman" w:eastAsia="宋体"/>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34"/>
        <w:ind w:left="0" w:leftChars="0" w:firstLine="0" w:firstLineChars="0"/>
        <w:jc w:val="center"/>
        <w:rPr>
          <w:rFonts w:hint="eastAsia" w:eastAsia="宋体"/>
          <w:b/>
          <w:bCs/>
          <w:sz w:val="24"/>
          <w:lang w:val="en-US" w:eastAsia="zh-CN"/>
        </w:rPr>
      </w:pPr>
      <w:r>
        <w:rPr>
          <w:rFonts w:hint="eastAsia" w:eastAsia="宋体"/>
          <w:b/>
          <w:bCs/>
          <w:sz w:val="24"/>
          <w:lang w:val="en-US" w:eastAsia="zh-CN"/>
        </w:rPr>
        <w:t>表3.9-1 本项目运营前后污染物变化情况</w:t>
      </w:r>
    </w:p>
    <w:tbl>
      <w:tblPr>
        <w:tblStyle w:val="35"/>
        <w:tblW w:w="4843"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076"/>
        <w:gridCol w:w="1575"/>
        <w:gridCol w:w="1873"/>
        <w:gridCol w:w="1873"/>
        <w:gridCol w:w="1873"/>
        <w:gridCol w:w="1873"/>
        <w:gridCol w:w="18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2791"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类别</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现有项目排放量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扩建项目排放量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扩建项目消减量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扩建完成后排放量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本项目变化量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restart"/>
            <w:tcBorders>
              <w:tl2br w:val="nil"/>
              <w:tr2bl w:val="nil"/>
            </w:tcBorders>
            <w:shd w:val="clear" w:color="auto" w:fill="auto"/>
            <w:vAlign w:val="center"/>
          </w:tcPr>
          <w:p>
            <w:pPr>
              <w:pStyle w:val="121"/>
              <w:rPr>
                <w:rFonts w:ascii="Times New Roman" w:hAnsi="Times New Roman" w:eastAsia="宋体"/>
                <w:highlight w:val="none"/>
              </w:rPr>
            </w:pPr>
            <w:r>
              <w:rPr>
                <w:rFonts w:hint="eastAsia" w:ascii="Times New Roman" w:hAnsi="Times New Roman" w:eastAsia="宋体"/>
                <w:highlight w:val="none"/>
              </w:rPr>
              <w:t>大气污染物</w:t>
            </w:r>
          </w:p>
        </w:tc>
        <w:tc>
          <w:tcPr>
            <w:tcW w:w="2076" w:type="dxa"/>
            <w:tcBorders>
              <w:tl2br w:val="nil"/>
              <w:tr2bl w:val="nil"/>
            </w:tcBorders>
            <w:shd w:val="clear" w:color="auto" w:fill="auto"/>
            <w:noWrap/>
            <w:vAlign w:val="center"/>
          </w:tcPr>
          <w:p>
            <w:pPr>
              <w:pStyle w:val="121"/>
              <w:rPr>
                <w:rFonts w:ascii="Times New Roman" w:hAnsi="Times New Roman" w:eastAsia="宋体"/>
                <w:highlight w:val="none"/>
              </w:rPr>
            </w:pPr>
            <w:r>
              <w:rPr>
                <w:rFonts w:hint="default" w:ascii="Times New Roman" w:hAnsi="Times New Roman" w:eastAsia="宋体"/>
                <w:color w:val="auto"/>
                <w:sz w:val="21"/>
                <w:szCs w:val="21"/>
                <w:highlight w:val="none"/>
                <w:lang w:val="en-US" w:eastAsia="zh-CN"/>
              </w:rPr>
              <w:t>露天采场原料砂装卸及堆存粉尘</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颗粒物</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eastAsia="宋体"/>
                <w:szCs w:val="21"/>
                <w:highlight w:val="none"/>
                <w:lang w:val="en-US" w:eastAsia="zh-CN"/>
              </w:rPr>
              <w:t>0.00128</w:t>
            </w:r>
            <w:r>
              <w:rPr>
                <w:rFonts w:hint="eastAsia" w:ascii="Times New Roman" w:hAnsi="Times New Roman" w:eastAsia="宋体"/>
                <w:highlight w:val="none"/>
              </w:rPr>
              <w:t>t/a</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0.00384</w:t>
            </w:r>
            <w:r>
              <w:rPr>
                <w:rFonts w:hint="eastAsia" w:ascii="Times New Roman" w:hAnsi="Times New Roman" w:eastAsia="宋体"/>
                <w:highlight w:val="none"/>
              </w:rPr>
              <w:t>t/a</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eastAsia="宋体"/>
                <w:szCs w:val="21"/>
                <w:highlight w:val="none"/>
                <w:lang w:val="en-US" w:eastAsia="zh-CN"/>
              </w:rPr>
              <w:t>0.00128</w:t>
            </w:r>
            <w:r>
              <w:rPr>
                <w:rFonts w:hint="eastAsia" w:ascii="Times New Roman" w:hAnsi="Times New Roman" w:eastAsia="宋体"/>
                <w:highlight w:val="none"/>
              </w:rPr>
              <w:t>t/a</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eastAsia="宋体"/>
                <w:szCs w:val="21"/>
                <w:highlight w:val="none"/>
                <w:lang w:val="en-US" w:eastAsia="zh-CN"/>
              </w:rPr>
              <w:t>0.00384</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+0.00256</w:t>
            </w:r>
            <w:r>
              <w:rPr>
                <w:rFonts w:hint="eastAsia" w:ascii="Times New Roman" w:hAnsi="Times New Roman" w:eastAsia="宋体"/>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l2br w:val="nil"/>
              <w:tr2bl w:val="nil"/>
            </w:tcBorders>
            <w:shd w:val="clear" w:color="auto" w:fill="auto"/>
            <w:vAlign w:val="center"/>
          </w:tcPr>
          <w:p>
            <w:pPr>
              <w:pStyle w:val="121"/>
              <w:rPr>
                <w:rFonts w:hint="eastAsia"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hint="default" w:ascii="Times New Roman" w:hAnsi="Times New Roman" w:eastAsia="宋体"/>
                <w:color w:val="auto"/>
                <w:sz w:val="21"/>
                <w:szCs w:val="21"/>
                <w:highlight w:val="none"/>
                <w:lang w:val="en-US" w:eastAsia="zh-CN"/>
              </w:rPr>
            </w:pPr>
            <w:r>
              <w:rPr>
                <w:rFonts w:hint="eastAsia" w:eastAsia="宋体"/>
                <w:color w:val="FF0000"/>
                <w:highlight w:val="none"/>
                <w:lang w:val="en-US" w:eastAsia="zh-CN"/>
              </w:rPr>
              <w:t>回填区作业面粉尘</w:t>
            </w:r>
          </w:p>
        </w:tc>
        <w:tc>
          <w:tcPr>
            <w:tcW w:w="1575"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颗粒物</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0.000125</w:t>
            </w:r>
            <w:r>
              <w:rPr>
                <w:rFonts w:hint="eastAsia" w:ascii="Times New Roman" w:hAnsi="Times New Roman" w:eastAsia="宋体"/>
                <w:color w:val="FF0000"/>
                <w:highlight w:val="none"/>
              </w:rPr>
              <w:t>t/a</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0.000125</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+0.000125</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l2br w:val="nil"/>
              <w:tr2bl w:val="nil"/>
            </w:tcBorders>
            <w:shd w:val="clear" w:color="auto" w:fill="auto"/>
            <w:vAlign w:val="center"/>
          </w:tcPr>
          <w:p>
            <w:pPr>
              <w:pStyle w:val="121"/>
              <w:rPr>
                <w:rFonts w:hint="eastAsia"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hint="default" w:ascii="Times New Roman" w:hAnsi="Times New Roman" w:eastAsia="宋体"/>
                <w:color w:val="auto"/>
                <w:sz w:val="21"/>
                <w:szCs w:val="21"/>
                <w:highlight w:val="none"/>
                <w:lang w:val="en-US" w:eastAsia="zh-CN"/>
              </w:rPr>
            </w:pPr>
            <w:r>
              <w:rPr>
                <w:rFonts w:hint="eastAsia" w:eastAsia="宋体"/>
                <w:color w:val="FF0000"/>
                <w:highlight w:val="none"/>
                <w:lang w:val="en-US" w:eastAsia="zh-CN"/>
              </w:rPr>
              <w:t>筛分工序粉尘</w:t>
            </w:r>
          </w:p>
        </w:tc>
        <w:tc>
          <w:tcPr>
            <w:tcW w:w="1575"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rPr>
            </w:pPr>
            <w:r>
              <w:rPr>
                <w:rFonts w:hint="eastAsia" w:eastAsia="宋体"/>
                <w:color w:val="FF0000"/>
                <w:highlight w:val="none"/>
                <w:lang w:val="en-US" w:eastAsia="zh-CN"/>
              </w:rPr>
              <w:t>颗粒物</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0.0000256</w:t>
            </w:r>
            <w:r>
              <w:rPr>
                <w:rFonts w:hint="eastAsia" w:ascii="Times New Roman" w:hAnsi="Times New Roman" w:eastAsia="宋体"/>
                <w:color w:val="FF0000"/>
                <w:highlight w:val="none"/>
              </w:rPr>
              <w:t>t/a</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eastAsia" w:eastAsia="宋体"/>
                <w:color w:val="FF0000"/>
                <w:szCs w:val="21"/>
                <w:highlight w:val="none"/>
                <w:lang w:val="en-US" w:eastAsia="zh-CN"/>
              </w:rPr>
            </w:pPr>
            <w:r>
              <w:rPr>
                <w:rFonts w:hint="eastAsia" w:eastAsia="宋体"/>
                <w:color w:val="FF0000"/>
                <w:szCs w:val="21"/>
                <w:highlight w:val="none"/>
                <w:lang w:val="en-US" w:eastAsia="zh-CN"/>
              </w:rPr>
              <w:t>0.0000256</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w:t>
            </w:r>
            <w:r>
              <w:rPr>
                <w:rFonts w:hint="eastAsia" w:eastAsia="宋体"/>
                <w:color w:val="FF0000"/>
                <w:szCs w:val="21"/>
                <w:highlight w:val="none"/>
                <w:lang w:val="en-US" w:eastAsia="zh-CN"/>
              </w:rPr>
              <w:t>0.0000256</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5" w:type="dxa"/>
            <w:vMerge w:val="continue"/>
            <w:tcBorders>
              <w:tl2br w:val="nil"/>
              <w:tr2bl w:val="nil"/>
            </w:tcBorders>
            <w:vAlign w:val="center"/>
          </w:tcPr>
          <w:p>
            <w:pPr>
              <w:pStyle w:val="121"/>
              <w:rPr>
                <w:rFonts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color w:val="auto"/>
                <w:sz w:val="21"/>
                <w:szCs w:val="21"/>
                <w:highlight w:val="none"/>
                <w:lang w:val="en-US" w:eastAsia="zh-CN"/>
              </w:rPr>
              <w:t>成品砂</w:t>
            </w:r>
            <w:r>
              <w:rPr>
                <w:rFonts w:hint="eastAsia" w:ascii="Times New Roman" w:hAnsi="Times New Roman" w:eastAsia="宋体"/>
                <w:color w:val="auto"/>
                <w:sz w:val="21"/>
                <w:szCs w:val="21"/>
                <w:highlight w:val="none"/>
                <w:lang w:eastAsia="zh-CN"/>
              </w:rPr>
              <w:t>堆存及装卸粉尘</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颗粒物</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0.00007</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ascii="Times New Roman" w:hAnsi="Times New Roman" w:eastAsia="宋体"/>
                <w:highlight w:val="none"/>
              </w:rPr>
            </w:pPr>
            <w:r>
              <w:rPr>
                <w:rFonts w:hint="default" w:ascii="Times New Roman" w:hAnsi="Times New Roman" w:cs="Times New Roman"/>
                <w:color w:val="auto"/>
                <w:sz w:val="21"/>
                <w:szCs w:val="21"/>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0.00007</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eastAsia="宋体"/>
                <w:highlight w:val="none"/>
                <w:lang w:val="en-US" w:eastAsia="zh-CN"/>
              </w:rPr>
            </w:pPr>
            <w:r>
              <w:rPr>
                <w:rFonts w:hint="eastAsia" w:eastAsia="宋体"/>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+0.00014</w:t>
            </w:r>
            <w:r>
              <w:rPr>
                <w:rFonts w:hint="eastAsia" w:ascii="Times New Roman" w:hAnsi="Times New Roman" w:eastAsia="宋体"/>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15" w:type="dxa"/>
            <w:vMerge w:val="continue"/>
            <w:tcBorders>
              <w:tl2br w:val="nil"/>
              <w:tr2bl w:val="nil"/>
            </w:tcBorders>
            <w:vAlign w:val="center"/>
          </w:tcPr>
          <w:p>
            <w:pPr>
              <w:pStyle w:val="121"/>
              <w:rPr>
                <w:rFonts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运输扬尘</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颗粒物</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ascii="Times New Roman" w:hAnsi="Times New Roman" w:eastAsia="宋体"/>
                <w:highlight w:val="none"/>
              </w:rPr>
            </w:pPr>
            <w:r>
              <w:rPr>
                <w:rFonts w:hint="default" w:ascii="Times New Roman" w:hAnsi="Times New Roman" w:cs="Times New Roman"/>
                <w:color w:val="auto"/>
                <w:sz w:val="21"/>
                <w:szCs w:val="21"/>
                <w:highlight w:val="none"/>
                <w:vertAlign w:val="baseline"/>
                <w:lang w:val="en-US" w:eastAsia="zh-CN"/>
              </w:rPr>
              <w:t>0.00063</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0.00063</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+0.00042</w:t>
            </w:r>
            <w:r>
              <w:rPr>
                <w:rFonts w:hint="eastAsia" w:ascii="Times New Roman" w:hAnsi="Times New Roman" w:eastAsia="宋体"/>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791" w:type="dxa"/>
            <w:gridSpan w:val="2"/>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固体废物</w:t>
            </w:r>
          </w:p>
        </w:tc>
        <w:tc>
          <w:tcPr>
            <w:tcW w:w="1575" w:type="dxa"/>
            <w:tcBorders>
              <w:tl2br w:val="nil"/>
              <w:tr2bl w:val="nil"/>
            </w:tcBorders>
            <w:shd w:val="clear" w:color="auto" w:fill="auto"/>
            <w:vAlign w:val="center"/>
          </w:tcPr>
          <w:p>
            <w:pPr>
              <w:pStyle w:val="121"/>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val="en-US" w:eastAsia="zh-CN"/>
              </w:rPr>
              <w:t>废石子</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1000</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1000</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+1000</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791" w:type="dxa"/>
            <w:gridSpan w:val="2"/>
            <w:vMerge w:val="continue"/>
            <w:tcBorders>
              <w:tl2br w:val="nil"/>
              <w:tr2bl w:val="nil"/>
            </w:tcBorders>
            <w:vAlign w:val="center"/>
          </w:tcPr>
          <w:p>
            <w:pPr>
              <w:pStyle w:val="121"/>
              <w:rPr>
                <w:rFonts w:ascii="Times New Roman" w:hAnsi="Times New Roman" w:eastAsia="宋体"/>
                <w:highlight w:val="none"/>
              </w:rPr>
            </w:pPr>
          </w:p>
        </w:tc>
        <w:tc>
          <w:tcPr>
            <w:tcW w:w="1575" w:type="dxa"/>
            <w:tcBorders>
              <w:tl2br w:val="nil"/>
              <w:tr2bl w:val="nil"/>
            </w:tcBorders>
            <w:shd w:val="clear" w:color="auto" w:fill="auto"/>
            <w:vAlign w:val="center"/>
          </w:tcPr>
          <w:p>
            <w:pPr>
              <w:pStyle w:val="121"/>
              <w:rPr>
                <w:rFonts w:ascii="Times New Roman" w:hAnsi="Times New Roman" w:eastAsia="宋体"/>
                <w:color w:val="FF0000"/>
                <w:highlight w:val="none"/>
              </w:rPr>
            </w:pPr>
            <w:r>
              <w:rPr>
                <w:rFonts w:hint="eastAsia" w:eastAsia="宋体"/>
                <w:color w:val="FF0000"/>
                <w:sz w:val="21"/>
                <w:szCs w:val="21"/>
                <w:highlight w:val="none"/>
                <w:lang w:val="en-US" w:eastAsia="zh-CN"/>
              </w:rPr>
              <w:t>脱水底</w:t>
            </w:r>
            <w:r>
              <w:rPr>
                <w:rFonts w:hint="eastAsia" w:ascii="Times New Roman" w:hAnsi="Times New Roman" w:eastAsia="宋体"/>
                <w:color w:val="FF0000"/>
                <w:sz w:val="21"/>
                <w:szCs w:val="21"/>
                <w:highlight w:val="none"/>
              </w:rPr>
              <w:t>泥</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4096</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4096</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+4096</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791" w:type="dxa"/>
            <w:gridSpan w:val="2"/>
            <w:vMerge w:val="continue"/>
            <w:tcBorders>
              <w:tl2br w:val="nil"/>
              <w:tr2bl w:val="nil"/>
            </w:tcBorders>
            <w:vAlign w:val="center"/>
          </w:tcPr>
          <w:p>
            <w:pPr>
              <w:pStyle w:val="121"/>
              <w:rPr>
                <w:rFonts w:ascii="Times New Roman" w:hAnsi="Times New Roman" w:eastAsia="宋体"/>
                <w:highlight w:val="none"/>
              </w:rPr>
            </w:pPr>
          </w:p>
        </w:tc>
        <w:tc>
          <w:tcPr>
            <w:tcW w:w="1575" w:type="dxa"/>
            <w:tcBorders>
              <w:tl2br w:val="nil"/>
              <w:tr2bl w:val="nil"/>
            </w:tcBorders>
            <w:shd w:val="clear" w:color="auto" w:fill="auto"/>
            <w:vAlign w:val="center"/>
          </w:tcPr>
          <w:p>
            <w:pPr>
              <w:pStyle w:val="121"/>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生活垃圾</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1.44</w:t>
            </w:r>
            <w:r>
              <w:rPr>
                <w:rFonts w:hint="eastAsia" w:ascii="Times New Roman" w:hAnsi="Times New Roman" w:eastAsia="宋体"/>
                <w:color w:val="FF0000"/>
                <w:highlight w:val="none"/>
              </w:rPr>
              <w:t>t/a</w:t>
            </w:r>
          </w:p>
        </w:tc>
        <w:tc>
          <w:tcPr>
            <w:tcW w:w="1873" w:type="dxa"/>
            <w:tcBorders>
              <w:tl2br w:val="nil"/>
              <w:tr2bl w:val="nil"/>
            </w:tcBorders>
            <w:shd w:val="clear" w:color="auto" w:fill="auto"/>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1.44</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791" w:type="dxa"/>
            <w:gridSpan w:val="2"/>
            <w:vMerge w:val="continue"/>
            <w:tcBorders>
              <w:tl2br w:val="nil"/>
              <w:tr2bl w:val="nil"/>
            </w:tcBorders>
            <w:vAlign w:val="center"/>
          </w:tcPr>
          <w:p>
            <w:pPr>
              <w:pStyle w:val="121"/>
              <w:rPr>
                <w:rFonts w:ascii="Times New Roman" w:hAnsi="Times New Roman" w:eastAsia="宋体"/>
                <w:highlight w:val="none"/>
              </w:rPr>
            </w:pPr>
          </w:p>
        </w:tc>
        <w:tc>
          <w:tcPr>
            <w:tcW w:w="1575"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表土</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2000m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2000m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1500m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r>
    </w:tbl>
    <w:p>
      <w:pPr>
        <w:pStyle w:val="34"/>
        <w:ind w:left="0" w:leftChars="0" w:firstLine="0" w:firstLineChars="0"/>
        <w:rPr>
          <w:rFonts w:hint="eastAsia" w:eastAsia="宋体"/>
          <w:b w:val="0"/>
          <w:bCs w:val="0"/>
          <w:sz w:val="24"/>
          <w:lang w:val="en-US" w:eastAsia="zh-CN"/>
        </w:rPr>
      </w:pPr>
    </w:p>
    <w:p>
      <w:pPr>
        <w:pStyle w:val="34"/>
        <w:ind w:left="0" w:leftChars="0" w:firstLine="0" w:firstLineChars="0"/>
        <w:rPr>
          <w:rFonts w:hint="default" w:eastAsia="宋体"/>
          <w:b w:val="0"/>
          <w:bCs w:val="0"/>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eastAsia="宋体"/>
          <w:b w:val="0"/>
          <w:bCs w:val="0"/>
          <w:sz w:val="24"/>
          <w:lang w:val="en-US" w:eastAsia="zh-CN"/>
        </w:rPr>
        <w:t>。</w:t>
      </w: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ascii="Times New Roman" w:hAnsi="Times New Roman" w:eastAsia="宋体"/>
          <w:b/>
          <w:bCs w:val="0"/>
          <w:color w:val="auto"/>
          <w:sz w:val="36"/>
          <w:szCs w:val="36"/>
          <w:highlight w:val="none"/>
        </w:rPr>
      </w:pPr>
      <w:bookmarkStart w:id="127" w:name="_Toc25109"/>
      <w:r>
        <w:rPr>
          <w:rFonts w:ascii="Times New Roman" w:hAnsi="Times New Roman" w:eastAsia="宋体"/>
          <w:b/>
          <w:bCs w:val="0"/>
          <w:color w:val="auto"/>
          <w:sz w:val="36"/>
          <w:szCs w:val="36"/>
          <w:highlight w:val="none"/>
        </w:rPr>
        <w:t>4</w:t>
      </w:r>
      <w:r>
        <w:rPr>
          <w:rFonts w:hint="eastAsia" w:ascii="Times New Roman" w:hAnsi="Times New Roman" w:eastAsia="宋体"/>
          <w:b/>
          <w:bCs w:val="0"/>
          <w:color w:val="auto"/>
          <w:sz w:val="36"/>
          <w:szCs w:val="36"/>
          <w:highlight w:val="none"/>
        </w:rPr>
        <w:t xml:space="preserve"> 环境现状调查与评价</w:t>
      </w:r>
      <w:bookmarkEnd w:id="127"/>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bookmarkStart w:id="128" w:name="_Toc25881"/>
      <w:r>
        <w:rPr>
          <w:rFonts w:hint="eastAsia" w:ascii="Times New Roman" w:hAnsi="Times New Roman" w:eastAsia="宋体"/>
          <w:b/>
          <w:bCs w:val="0"/>
          <w:color w:val="auto"/>
          <w:highlight w:val="none"/>
        </w:rPr>
        <w:t>4.1 自然环境概况</w:t>
      </w:r>
      <w:bookmarkEnd w:id="12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29" w:name="_Toc11631"/>
      <w:r>
        <w:rPr>
          <w:rFonts w:hint="eastAsia" w:ascii="Times New Roman" w:hAnsi="Times New Roman" w:eastAsia="宋体"/>
          <w:b/>
          <w:bCs w:val="0"/>
          <w:color w:val="auto"/>
          <w:sz w:val="30"/>
          <w:highlight w:val="none"/>
        </w:rPr>
        <w:t>4.1.1 地理位置</w:t>
      </w:r>
      <w:bookmarkEnd w:id="12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olor w:val="auto"/>
          <w:highlight w:val="none"/>
        </w:rPr>
      </w:pPr>
      <w:bookmarkStart w:id="130" w:name="_Toc385065581"/>
      <w:r>
        <w:rPr>
          <w:rFonts w:hint="default" w:ascii="Times New Roman" w:hAnsi="Times New Roman" w:eastAsia="宋体"/>
          <w:color w:val="auto"/>
          <w:highlight w:val="none"/>
        </w:rPr>
        <w:t>苏尼特右旗简称西苏旗，位于自治区中部，锡林郭勒盟西部，东与苏尼特左旗、镶黄旗毗邻，南与乌兰察布市察哈尔右翼后旗、商都县相连，西与乌兰察布市四子王旗接壤，北衔二连浩特市与蒙古国交界，国境线长18.15km，连接欧亚大陆的交通枢纽北京——乌兰巴托——莫斯科国际铁路线贯穿全境。地理位置为东经</w:t>
      </w:r>
      <w:r>
        <w:rPr>
          <w:rFonts w:hint="eastAsia" w:ascii="Times New Roman" w:hAnsi="Times New Roman" w:eastAsia="宋体"/>
          <w:color w:val="auto"/>
          <w:highlight w:val="none"/>
        </w:rPr>
        <w:t>，隶属</w:t>
      </w:r>
      <w:r>
        <w:rPr>
          <w:rFonts w:hint="eastAsia" w:eastAsia="宋体"/>
          <w:color w:val="auto"/>
          <w:highlight w:val="none"/>
          <w:lang w:val="en-US" w:eastAsia="zh-CN"/>
        </w:rPr>
        <w:t>朱日和镇</w:t>
      </w:r>
      <w:r>
        <w:rPr>
          <w:rFonts w:hint="eastAsia" w:ascii="Times New Roman" w:hAnsi="Times New Roman" w:eastAsia="宋体"/>
          <w:color w:val="auto"/>
          <w:highlight w:val="none"/>
        </w:rPr>
        <w:t>所管辖。矿区地理位置：</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ascii="Times New Roman" w:hAnsi="Times New Roman" w:eastAsia="宋体"/>
          <w:color w:val="auto"/>
          <w:highlight w:val="none"/>
        </w:rPr>
        <w:t>东经</w:t>
      </w:r>
      <w:r>
        <w:rPr>
          <w:rFonts w:hint="eastAsia" w:eastAsia="宋体"/>
          <w:color w:val="auto"/>
          <w:highlight w:val="none"/>
          <w:lang w:eastAsia="zh-CN"/>
        </w:rPr>
        <w:t>：</w:t>
      </w:r>
      <w:r>
        <w:rPr>
          <w:rFonts w:hint="default" w:ascii="Times New Roman" w:hAnsi="Times New Roman" w:eastAsia="宋体"/>
          <w:color w:val="auto"/>
          <w:highlight w:val="none"/>
        </w:rPr>
        <w:t>111°08′~114°16′</w:t>
      </w:r>
      <w:r>
        <w:rPr>
          <w:rFonts w:hint="eastAsia" w:eastAsia="宋体"/>
          <w:color w:val="auto"/>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北纬</w:t>
      </w:r>
      <w:r>
        <w:rPr>
          <w:rFonts w:hint="eastAsia" w:eastAsia="宋体"/>
          <w:color w:val="auto"/>
          <w:highlight w:val="none"/>
          <w:lang w:eastAsia="zh-CN"/>
        </w:rPr>
        <w:t>：</w:t>
      </w:r>
      <w:r>
        <w:rPr>
          <w:rFonts w:hint="default" w:ascii="Times New Roman" w:hAnsi="Times New Roman" w:eastAsia="宋体"/>
          <w:color w:val="auto"/>
          <w:highlight w:val="none"/>
        </w:rPr>
        <w:t>41°55′~43°39′。</w:t>
      </w:r>
      <w:bookmarkEnd w:id="130"/>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本项目位于</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w:t>
      </w:r>
      <w:r>
        <w:rPr>
          <w:rFonts w:hint="default" w:ascii="Times New Roman" w:hAnsi="Times New Roman" w:eastAsia="宋体"/>
          <w:color w:val="auto"/>
          <w:highlight w:val="none"/>
        </w:rPr>
        <w:t>，具体地理位置</w:t>
      </w:r>
      <w:r>
        <w:rPr>
          <w:rFonts w:hint="eastAsia" w:eastAsia="宋体"/>
          <w:color w:val="auto"/>
          <w:highlight w:val="none"/>
          <w:lang w:val="en-US" w:eastAsia="zh-CN"/>
        </w:rPr>
        <w:t>见附</w:t>
      </w:r>
      <w:r>
        <w:rPr>
          <w:rFonts w:hint="default" w:ascii="Times New Roman" w:hAnsi="Times New Roman" w:eastAsia="宋体"/>
          <w:color w:val="auto"/>
          <w:highlight w:val="none"/>
        </w:rPr>
        <w:t>图</w:t>
      </w:r>
      <w:r>
        <w:rPr>
          <w:rFonts w:hint="eastAsia" w:eastAsia="宋体"/>
          <w:color w:val="auto"/>
          <w:highlight w:val="none"/>
          <w:lang w:val="en-US" w:eastAsia="zh-CN"/>
        </w:rPr>
        <w:t>1</w:t>
      </w:r>
      <w:r>
        <w:rPr>
          <w:rFonts w:hint="default" w:ascii="Times New Roman" w:hAnsi="Times New Roman" w:eastAsia="宋体"/>
          <w:color w:val="auto"/>
          <w:highlight w:val="none"/>
        </w:rPr>
        <w:t>所示。</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31" w:name="_Toc19324"/>
      <w:r>
        <w:rPr>
          <w:rFonts w:hint="eastAsia" w:ascii="Times New Roman" w:hAnsi="Times New Roman" w:eastAsia="宋体"/>
          <w:b/>
          <w:bCs w:val="0"/>
          <w:color w:val="auto"/>
          <w:sz w:val="30"/>
          <w:highlight w:val="none"/>
        </w:rPr>
        <w:t>4.1.2 地形地貌</w:t>
      </w:r>
      <w:bookmarkEnd w:id="131"/>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苏尼特右旗属古湖盆地上升而形成剥蚀高原，平均海拔高度为1000～1400m，整个地形南高北低，中北部为坦荡的高平原和丘陵，南部多山、东部为浑善达克沙地延伸部分。境内无长年河流，地表水贫乏，地下水资源分布不均匀且埋藏较深。</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园区拟建地点处于天山内蒙古地槽褶皱系的内蒙古晚期华丽西褶皱带，锡林浩特至二道井背斜带中。</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highlight w:val="none"/>
        </w:rPr>
      </w:pPr>
      <w:bookmarkStart w:id="132" w:name="_Toc2718"/>
      <w:bookmarkStart w:id="133" w:name="_Toc60002331"/>
      <w:bookmarkStart w:id="134" w:name="_Toc521342143"/>
      <w:r>
        <w:rPr>
          <w:rFonts w:hint="eastAsia" w:ascii="Times New Roman" w:hAnsi="Times New Roman" w:eastAsia="宋体"/>
          <w:b/>
          <w:bCs w:val="0"/>
          <w:color w:val="auto"/>
          <w:sz w:val="30"/>
          <w:highlight w:val="none"/>
        </w:rPr>
        <w:t>4.1.3 地质构造</w:t>
      </w:r>
      <w:bookmarkEnd w:id="132"/>
      <w:bookmarkEnd w:id="133"/>
      <w:bookmarkEnd w:id="134"/>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bookmarkStart w:id="135" w:name="_Toc385065583"/>
      <w:bookmarkEnd w:id="135"/>
      <w:bookmarkStart w:id="136" w:name="_Toc2747"/>
      <w:r>
        <w:rPr>
          <w:rFonts w:ascii="Times New Roman" w:hAnsi="Times New Roman" w:eastAsia="宋体"/>
          <w:color w:val="auto"/>
          <w:highlight w:val="none"/>
        </w:rPr>
        <w:t>园区附近中、新生界沉积地层大面积分布，较远处露有古生界及华力西期与燕山气的岩浆岩；在第三系前的基岩分布区，褶皱和断裂较为发育，在大面积第三岩系分布区，构造简单，矿区南岸的白垩系下统下组第二、第三岩性段成弧度分布，由西向东气其倾向变化为1370~1850~2650~3000，倾角50~120之间，组成向南倾伏的短轴斜构造。</w:t>
      </w:r>
      <w:bookmarkEnd w:id="136"/>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37" w:name="_Toc17931"/>
      <w:r>
        <w:rPr>
          <w:rFonts w:hint="eastAsia" w:ascii="Times New Roman" w:hAnsi="Times New Roman" w:eastAsia="宋体"/>
          <w:b/>
          <w:bCs w:val="0"/>
          <w:color w:val="auto"/>
          <w:sz w:val="30"/>
          <w:highlight w:val="none"/>
        </w:rPr>
        <w:t>4.1.</w:t>
      </w:r>
      <w:r>
        <w:rPr>
          <w:rFonts w:hint="eastAsia" w:eastAsia="宋体"/>
          <w:b/>
          <w:bCs w:val="0"/>
          <w:color w:val="auto"/>
          <w:sz w:val="30"/>
          <w:highlight w:val="none"/>
          <w:lang w:val="en-US" w:eastAsia="zh-CN"/>
        </w:rPr>
        <w:t>4</w:t>
      </w:r>
      <w:r>
        <w:rPr>
          <w:rFonts w:hint="eastAsia" w:ascii="Times New Roman" w:hAnsi="Times New Roman" w:eastAsia="宋体"/>
          <w:b/>
          <w:bCs w:val="0"/>
          <w:color w:val="auto"/>
          <w:sz w:val="30"/>
          <w:highlight w:val="none"/>
        </w:rPr>
        <w:t xml:space="preserve"> 气象气候</w:t>
      </w:r>
      <w:bookmarkEnd w:id="137"/>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bookmarkStart w:id="138" w:name="_Toc5032"/>
      <w:r>
        <w:rPr>
          <w:rFonts w:ascii="Times New Roman" w:hAnsi="Times New Roman" w:eastAsia="宋体"/>
          <w:color w:val="auto"/>
          <w:highlight w:val="none"/>
        </w:rPr>
        <w:t>项目区属中温带干旱大陆性季风气候。气温变化较大，冬季漫长而寒冷，夏季短暂而炎热。年均气温4.3</w:t>
      </w:r>
      <w:bookmarkEnd w:id="138"/>
      <w:r>
        <w:rPr>
          <w:rFonts w:hint="eastAsia" w:ascii="Times New Roman" w:hAnsi="Times New Roman" w:eastAsia="宋体"/>
          <w:color w:val="auto"/>
          <w:highlight w:val="none"/>
        </w:rPr>
        <w:t>℃</w:t>
      </w:r>
      <w:r>
        <w:rPr>
          <w:rFonts w:ascii="Times New Roman" w:hAnsi="Times New Roman" w:eastAsia="宋体"/>
          <w:color w:val="auto"/>
          <w:highlight w:val="none"/>
        </w:rPr>
        <w:t>，最低气温-38.8</w:t>
      </w:r>
      <w:r>
        <w:rPr>
          <w:rFonts w:hint="eastAsia" w:ascii="Times New Roman" w:hAnsi="Times New Roman" w:eastAsia="宋体"/>
          <w:color w:val="auto"/>
          <w:highlight w:val="none"/>
        </w:rPr>
        <w:t>℃</w:t>
      </w:r>
      <w:r>
        <w:rPr>
          <w:rFonts w:ascii="Times New Roman" w:hAnsi="Times New Roman" w:eastAsia="宋体"/>
          <w:color w:val="auto"/>
          <w:highlight w:val="none"/>
        </w:rPr>
        <w:t>，最高温度38.7</w:t>
      </w:r>
      <w:r>
        <w:rPr>
          <w:rFonts w:hint="eastAsia" w:ascii="Times New Roman" w:hAnsi="Times New Roman" w:eastAsia="宋体"/>
          <w:color w:val="auto"/>
          <w:highlight w:val="none"/>
        </w:rPr>
        <w:t>℃</w:t>
      </w:r>
      <w:r>
        <w:rPr>
          <w:rFonts w:ascii="Times New Roman" w:hAnsi="Times New Roman" w:eastAsia="宋体"/>
          <w:color w:val="auto"/>
          <w:highlight w:val="none"/>
        </w:rPr>
        <w:t>，≥10</w:t>
      </w:r>
      <w:r>
        <w:rPr>
          <w:rFonts w:hint="eastAsia" w:ascii="Times New Roman" w:hAnsi="Times New Roman" w:eastAsia="宋体"/>
          <w:color w:val="auto"/>
          <w:highlight w:val="none"/>
        </w:rPr>
        <w:t>℃</w:t>
      </w:r>
      <w:r>
        <w:rPr>
          <w:rFonts w:ascii="Times New Roman" w:hAnsi="Times New Roman" w:eastAsia="宋体"/>
          <w:color w:val="auto"/>
          <w:highlight w:val="none"/>
        </w:rPr>
        <w:t>积温2500</w:t>
      </w:r>
      <w:r>
        <w:rPr>
          <w:rFonts w:hint="eastAsia" w:ascii="Times New Roman" w:hAnsi="Times New Roman" w:eastAsia="宋体"/>
          <w:color w:val="auto"/>
          <w:highlight w:val="none"/>
        </w:rPr>
        <w:t>℃</w:t>
      </w:r>
      <w:r>
        <w:rPr>
          <w:rFonts w:ascii="Times New Roman" w:hAnsi="Times New Roman" w:eastAsia="宋体"/>
          <w:color w:val="auto"/>
          <w:highlight w:val="none"/>
        </w:rPr>
        <w:t>。年平均降水量181.9mm，多集中在6～9月份，降雨量占全年降雨量的70%；年均蒸发量2384.3mm，年均日照时数为3231.8h，≥10</w:t>
      </w:r>
      <w:r>
        <w:rPr>
          <w:rFonts w:hint="eastAsia" w:ascii="Times New Roman" w:hAnsi="Times New Roman" w:eastAsia="宋体"/>
          <w:color w:val="auto"/>
          <w:highlight w:val="none"/>
        </w:rPr>
        <w:t>℃</w:t>
      </w:r>
      <w:r>
        <w:rPr>
          <w:rFonts w:ascii="Times New Roman" w:hAnsi="Times New Roman" w:eastAsia="宋体"/>
          <w:color w:val="auto"/>
          <w:highlight w:val="none"/>
        </w:rPr>
        <w:t>积温2500</w:t>
      </w:r>
      <w:r>
        <w:rPr>
          <w:rFonts w:hint="eastAsia" w:ascii="Times New Roman" w:hAnsi="Times New Roman" w:eastAsia="宋体"/>
          <w:color w:val="auto"/>
          <w:highlight w:val="none"/>
        </w:rPr>
        <w:t>℃</w:t>
      </w:r>
      <w:r>
        <w:rPr>
          <w:rFonts w:ascii="Times New Roman" w:hAnsi="Times New Roman" w:eastAsia="宋体"/>
          <w:color w:val="auto"/>
          <w:highlight w:val="none"/>
        </w:rPr>
        <w:t>。全年</w:t>
      </w:r>
      <w:r>
        <w:rPr>
          <w:rFonts w:hint="eastAsia" w:ascii="Times New Roman" w:hAnsi="Times New Roman" w:eastAsia="宋体"/>
          <w:color w:val="auto"/>
          <w:highlight w:val="none"/>
        </w:rPr>
        <w:t>主导风向为西南偏西风</w:t>
      </w:r>
      <w:r>
        <w:rPr>
          <w:rFonts w:ascii="Times New Roman" w:hAnsi="Times New Roman" w:eastAsia="宋体"/>
          <w:color w:val="auto"/>
          <w:highlight w:val="none"/>
        </w:rPr>
        <w:t>，平均风速</w:t>
      </w:r>
      <w:r>
        <w:rPr>
          <w:rFonts w:hint="eastAsia" w:ascii="Times New Roman" w:hAnsi="Times New Roman" w:eastAsia="宋体"/>
          <w:color w:val="auto"/>
          <w:highlight w:val="none"/>
        </w:rPr>
        <w:t>3.9</w:t>
      </w:r>
      <w:r>
        <w:rPr>
          <w:rFonts w:ascii="Times New Roman" w:hAnsi="Times New Roman" w:eastAsia="宋体"/>
          <w:color w:val="auto"/>
          <w:highlight w:val="none"/>
        </w:rPr>
        <w:t>m/s，最大风速32m/s。年均湿度39%。每年10月至翌年5月份为霜冻期，无霜期130天。最大冻土深度3.0m。</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szCs w:val="30"/>
          <w:highlight w:val="none"/>
        </w:rPr>
      </w:pPr>
      <w:bookmarkStart w:id="139" w:name="_Toc6969"/>
      <w:r>
        <w:rPr>
          <w:rFonts w:hint="eastAsia" w:ascii="Times New Roman" w:hAnsi="Times New Roman" w:eastAsia="宋体"/>
          <w:b/>
          <w:bCs w:val="0"/>
          <w:color w:val="auto"/>
          <w:sz w:val="30"/>
          <w:szCs w:val="30"/>
          <w:highlight w:val="none"/>
        </w:rPr>
        <w:t>4.1.</w:t>
      </w:r>
      <w:r>
        <w:rPr>
          <w:rFonts w:hint="eastAsia" w:eastAsia="宋体"/>
          <w:b/>
          <w:bCs w:val="0"/>
          <w:color w:val="auto"/>
          <w:sz w:val="30"/>
          <w:szCs w:val="30"/>
          <w:highlight w:val="none"/>
          <w:lang w:val="en-US" w:eastAsia="zh-CN"/>
        </w:rPr>
        <w:t>5</w:t>
      </w:r>
      <w:r>
        <w:rPr>
          <w:rFonts w:hint="eastAsia" w:ascii="Times New Roman" w:hAnsi="Times New Roman" w:eastAsia="宋体"/>
          <w:b/>
          <w:bCs w:val="0"/>
          <w:color w:val="auto"/>
          <w:sz w:val="30"/>
          <w:szCs w:val="30"/>
          <w:highlight w:val="none"/>
        </w:rPr>
        <w:t xml:space="preserve"> </w:t>
      </w:r>
      <w:r>
        <w:rPr>
          <w:rFonts w:hint="eastAsia" w:eastAsia="宋体"/>
          <w:b/>
          <w:bCs w:val="0"/>
          <w:color w:val="auto"/>
          <w:sz w:val="30"/>
          <w:szCs w:val="30"/>
          <w:highlight w:val="none"/>
          <w:lang w:val="en-US" w:eastAsia="zh-CN"/>
        </w:rPr>
        <w:t>水文</w:t>
      </w:r>
      <w:r>
        <w:rPr>
          <w:rFonts w:hint="eastAsia" w:ascii="Times New Roman" w:hAnsi="Times New Roman" w:eastAsia="宋体"/>
          <w:b/>
          <w:bCs w:val="0"/>
          <w:color w:val="auto"/>
          <w:sz w:val="30"/>
          <w:szCs w:val="30"/>
          <w:highlight w:val="none"/>
        </w:rPr>
        <w:t>水系</w:t>
      </w:r>
      <w:bookmarkEnd w:id="139"/>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bookmarkStart w:id="140" w:name="_Toc385065585"/>
      <w:r>
        <w:rPr>
          <w:rFonts w:hint="default" w:ascii="Times New Roman" w:hAnsi="Times New Roman" w:eastAsia="宋体"/>
          <w:color w:val="auto"/>
          <w:highlight w:val="none"/>
        </w:rPr>
        <w:t>由于深居内陆，地处高原、缺乏各种形态的地表水。有诺尔(即湖泊)300多处，但大多是雨季暂时存水，其它季节多处于干涸状态。南部山谷间虽有些河床，除雨季会出现洪水外，其它时间无水或水少。地下水位深、贮量少，其流向与整个地势相一致，含水层埋藏深度从南向北由深至浅，降水少，地表水贫乏，地下水不稳定，深层水开发困难，在一些地区形成缺水草场。境内无长年河流，地表水贫乏，地下水资源分布不均匀且埋藏较深。</w:t>
      </w:r>
      <w:bookmarkEnd w:id="140"/>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41" w:name="_Toc60002334"/>
      <w:bookmarkStart w:id="142" w:name="_Toc521342146"/>
      <w:bookmarkStart w:id="143" w:name="_Toc28544"/>
      <w:r>
        <w:rPr>
          <w:rFonts w:hint="eastAsia" w:ascii="Times New Roman" w:hAnsi="Times New Roman" w:eastAsia="宋体"/>
          <w:b/>
          <w:bCs w:val="0"/>
          <w:color w:val="auto"/>
          <w:sz w:val="30"/>
          <w:szCs w:val="30"/>
          <w:highlight w:val="none"/>
        </w:rPr>
        <w:t>4.1.6 矿产资源</w:t>
      </w:r>
      <w:bookmarkEnd w:id="141"/>
      <w:bookmarkEnd w:id="142"/>
      <w:bookmarkEnd w:id="143"/>
    </w:p>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highlight w:val="none"/>
        </w:rPr>
      </w:pPr>
      <w:bookmarkStart w:id="144" w:name="_Toc15982"/>
      <w:bookmarkEnd w:id="144"/>
      <w:bookmarkStart w:id="145" w:name="_Toc385065586"/>
      <w:r>
        <w:rPr>
          <w:rFonts w:ascii="Times New Roman" w:hAnsi="Times New Roman" w:eastAsia="宋体"/>
          <w:color w:val="auto"/>
          <w:highlight w:val="none"/>
        </w:rPr>
        <w:t>苏右旗矿产资源比较丰富，目前已发现的矿产资源有能源矿产，黑色金属矿产，有色金属矿产，贵金属矿产，稀散元素、冶金辅助原料矿产、化工原料矿产、建筑材料、非金属矿产及水气矿产等，共十大类，35种矿产，120多处矿产地。在已知的矿产地中，探明矿床规模的有30余处，有15种矿产资源获得了不同级别的储量，主要有石油2000万吨，铁矿石1.6亿吨、碱4000万吨、芒硝414万吨、铜7万吨、金2吨、锰53万吨、蛇文岩521万吨、萤石60万吨。现已开采的主要有金矿、铁矿、碱矿、石油、石灰石等。</w:t>
      </w:r>
      <w:bookmarkEnd w:id="145"/>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46" w:name="_Toc481479024"/>
      <w:bookmarkEnd w:id="146"/>
      <w:bookmarkStart w:id="147" w:name="_Toc521342147"/>
      <w:bookmarkStart w:id="148" w:name="_Toc60002335"/>
      <w:bookmarkStart w:id="149" w:name="_Toc30886"/>
      <w:r>
        <w:rPr>
          <w:rFonts w:hint="eastAsia" w:ascii="Times New Roman" w:hAnsi="Times New Roman" w:eastAsia="宋体"/>
          <w:b/>
          <w:bCs w:val="0"/>
          <w:color w:val="auto"/>
          <w:sz w:val="30"/>
          <w:szCs w:val="30"/>
          <w:highlight w:val="none"/>
        </w:rPr>
        <w:t>4.1.7 植物资源</w:t>
      </w:r>
      <w:bookmarkEnd w:id="147"/>
      <w:bookmarkEnd w:id="148"/>
      <w:bookmarkEnd w:id="149"/>
    </w:p>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highlight w:val="none"/>
        </w:rPr>
      </w:pPr>
      <w:bookmarkStart w:id="150" w:name="_Toc385065587"/>
      <w:bookmarkEnd w:id="150"/>
      <w:bookmarkStart w:id="151" w:name="_Toc274398822"/>
      <w:bookmarkEnd w:id="151"/>
      <w:bookmarkStart w:id="152" w:name="_Toc1913"/>
      <w:r>
        <w:rPr>
          <w:rFonts w:ascii="Times New Roman" w:hAnsi="Times New Roman" w:eastAsia="宋体"/>
          <w:color w:val="auto"/>
          <w:highlight w:val="none"/>
        </w:rPr>
        <w:t>苏尼特右旗植被为干旱草原向荒漠化草原过渡植被类型。主要分布在其境内的中部、西部和北部地区。主要植被为小灌木、禾草类。丘间低地，干河道和湖盆洼地上主要植被有沙柳、芦苇、芨芨草、苔草、白刺、红砂、柠条锦鸡、盐爪爪、马莲等。森林植被包括天然林和人工林。天然林重要分布在呼木苏木、额仁卓尔苏木等地，各地都有零星分布，主要树种为榆树、山杏和柳树等。人工林主要分布在赛汉镇西南部，白音哈尔林场分场。苏尼特右旗境内野生经济植物种类也比较多，以药用植物居多，有麻黄草、甘草、知母、天冬等，食用菌及食用植物有发菜、蘑菇、蕨菜等。</w:t>
      </w:r>
      <w:bookmarkEnd w:id="152"/>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53" w:name="_Toc1778"/>
      <w:bookmarkStart w:id="154" w:name="_Toc521342148"/>
      <w:bookmarkStart w:id="155" w:name="_Toc60002336"/>
      <w:r>
        <w:rPr>
          <w:rFonts w:hint="eastAsia" w:ascii="Times New Roman" w:hAnsi="Times New Roman" w:eastAsia="宋体"/>
          <w:b/>
          <w:bCs w:val="0"/>
          <w:color w:val="auto"/>
          <w:sz w:val="30"/>
          <w:szCs w:val="30"/>
          <w:highlight w:val="none"/>
        </w:rPr>
        <w:t>4.1.8 环境保护目标调查</w:t>
      </w:r>
      <w:bookmarkEnd w:id="153"/>
      <w:bookmarkEnd w:id="154"/>
      <w:bookmarkEnd w:id="155"/>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经现场勘探，本项目位于</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w:t>
      </w:r>
      <w:r>
        <w:rPr>
          <w:rFonts w:ascii="Times New Roman" w:hAnsi="Times New Roman" w:eastAsia="宋体"/>
          <w:color w:val="auto"/>
          <w:highlight w:val="none"/>
        </w:rPr>
        <w:t>，</w:t>
      </w:r>
      <w:r>
        <w:rPr>
          <w:rFonts w:hint="eastAsia" w:ascii="Times New Roman" w:hAnsi="Times New Roman" w:eastAsia="宋体"/>
          <w:color w:val="auto"/>
          <w:highlight w:val="none"/>
        </w:rPr>
        <w:t>评价范围内主要环境保护目标为项目区周边牧民</w:t>
      </w:r>
      <w:r>
        <w:rPr>
          <w:rFonts w:ascii="Times New Roman" w:hAnsi="Times New Roman" w:eastAsia="宋体"/>
          <w:color w:val="auto"/>
          <w:highlight w:val="none"/>
        </w:rPr>
        <w:t>。</w:t>
      </w:r>
      <w:r>
        <w:rPr>
          <w:rFonts w:hint="eastAsia" w:eastAsia="宋体"/>
          <w:color w:val="auto"/>
          <w:highlight w:val="none"/>
          <w:lang w:val="en-US" w:eastAsia="zh-CN"/>
        </w:rPr>
        <w:t>环境保护目标见表4.1-1和附图6。</w:t>
      </w:r>
    </w:p>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highlight w:val="none"/>
        </w:rPr>
      </w:pPr>
      <w:r>
        <w:rPr>
          <w:rFonts w:ascii="Times New Roman" w:hAnsi="Times New Roman" w:eastAsia="宋体"/>
          <w:color w:val="auto"/>
          <w:highlight w:val="none"/>
        </w:rPr>
        <w:t>评价区域内</w:t>
      </w:r>
      <w:r>
        <w:rPr>
          <w:rFonts w:hint="eastAsia" w:ascii="Times New Roman" w:hAnsi="Times New Roman" w:eastAsia="宋体"/>
          <w:color w:val="auto"/>
          <w:highlight w:val="none"/>
        </w:rPr>
        <w:t>无重要环境敏感区，无</w:t>
      </w:r>
      <w:r>
        <w:rPr>
          <w:rFonts w:ascii="Times New Roman" w:hAnsi="Times New Roman" w:eastAsia="宋体"/>
          <w:color w:val="auto"/>
          <w:highlight w:val="none"/>
        </w:rPr>
        <w:t>重点保护文物单位和珍稀濒危野生动植物资源。</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表4.1-1  环境保护目标一览表</w:t>
      </w:r>
    </w:p>
    <w:tbl>
      <w:tblPr>
        <w:tblStyle w:val="35"/>
        <w:tblW w:w="8724" w:type="dxa"/>
        <w:jc w:val="center"/>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248"/>
        <w:gridCol w:w="825"/>
        <w:gridCol w:w="2160"/>
        <w:gridCol w:w="1590"/>
        <w:gridCol w:w="2901"/>
      </w:tblGrid>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48" w:type="dxa"/>
            <w:noWrap w:val="0"/>
            <w:vAlign w:val="center"/>
          </w:tcPr>
          <w:p>
            <w:pPr>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环境要素</w:t>
            </w:r>
          </w:p>
        </w:tc>
        <w:tc>
          <w:tcPr>
            <w:tcW w:w="4575" w:type="dxa"/>
            <w:gridSpan w:val="3"/>
            <w:noWrap w:val="0"/>
            <w:vAlign w:val="center"/>
          </w:tcPr>
          <w:p>
            <w:pPr>
              <w:keepNext/>
              <w:jc w:val="center"/>
              <w:textAlignment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保护目标</w:t>
            </w:r>
          </w:p>
        </w:tc>
        <w:tc>
          <w:tcPr>
            <w:tcW w:w="2901" w:type="dxa"/>
            <w:noWrap w:val="0"/>
            <w:vAlign w:val="center"/>
          </w:tcPr>
          <w:p>
            <w:pPr>
              <w:keepNext/>
              <w:ind w:left="0" w:leftChars="0" w:firstLine="0" w:firstLineChars="0"/>
              <w:jc w:val="center"/>
              <w:textAlignment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保护等级</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48" w:type="dxa"/>
            <w:noWrap w:val="0"/>
            <w:vAlign w:val="center"/>
          </w:tcPr>
          <w:p>
            <w:pPr>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大气环境</w:t>
            </w:r>
          </w:p>
        </w:tc>
        <w:tc>
          <w:tcPr>
            <w:tcW w:w="825" w:type="dxa"/>
            <w:tcBorders>
              <w:right w:val="single" w:color="auto" w:sz="4" w:space="0"/>
            </w:tcBorders>
            <w:noWrap w:val="0"/>
            <w:vAlign w:val="center"/>
          </w:tcPr>
          <w:p>
            <w:pPr>
              <w:keepNext/>
              <w:ind w:left="0" w:leftChars="0" w:firstLine="0" w:firstLineChars="0"/>
              <w:jc w:val="center"/>
              <w:textAlignment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牧民</w:t>
            </w:r>
          </w:p>
        </w:tc>
        <w:tc>
          <w:tcPr>
            <w:tcW w:w="2160" w:type="dxa"/>
            <w:tcBorders>
              <w:left w:val="single" w:color="auto" w:sz="4" w:space="0"/>
            </w:tcBorders>
            <w:noWrap w:val="0"/>
            <w:vAlign w:val="center"/>
          </w:tcPr>
          <w:p>
            <w:pPr>
              <w:keepNext/>
              <w:ind w:left="0" w:leftChars="0" w:firstLine="0" w:firstLineChars="0"/>
              <w:jc w:val="center"/>
              <w:textAlignment w:val="center"/>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lang w:val="en-US" w:eastAsia="zh-CN"/>
              </w:rPr>
              <w:t>东1k</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lang w:val="en-US" w:eastAsia="zh-CN"/>
              </w:rPr>
              <w:t>~2.1km</w:t>
            </w:r>
            <w:r>
              <w:rPr>
                <w:rFonts w:ascii="Times New Roman" w:hAnsi="Times New Roman" w:eastAsia="宋体"/>
                <w:color w:val="auto"/>
                <w:sz w:val="21"/>
                <w:szCs w:val="21"/>
                <w:highlight w:val="none"/>
              </w:rPr>
              <w:t>处</w:t>
            </w:r>
          </w:p>
        </w:tc>
        <w:tc>
          <w:tcPr>
            <w:tcW w:w="1590" w:type="dxa"/>
            <w:tcBorders>
              <w:left w:val="single" w:color="auto" w:sz="4" w:space="0"/>
            </w:tcBorders>
            <w:noWrap w:val="0"/>
            <w:vAlign w:val="center"/>
          </w:tcPr>
          <w:p>
            <w:pPr>
              <w:keepNext/>
              <w:ind w:left="0" w:leftChars="0" w:firstLine="0" w:firstLineChars="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14人/4户</w:t>
            </w:r>
          </w:p>
        </w:tc>
        <w:tc>
          <w:tcPr>
            <w:tcW w:w="2901" w:type="dxa"/>
            <w:noWrap w:val="0"/>
            <w:vAlign w:val="center"/>
          </w:tcPr>
          <w:p>
            <w:pPr>
              <w:keepNext/>
              <w:ind w:left="0" w:leftChars="0" w:firstLine="0" w:firstLineChars="0"/>
              <w:jc w:val="center"/>
              <w:textAlignment w:val="center"/>
              <w:rPr>
                <w:rFonts w:hint="eastAsia"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《环境空气质量标准》（GB3095-2012）及其修改单</w:t>
            </w:r>
            <w:r>
              <w:rPr>
                <w:rFonts w:hint="eastAsia" w:ascii="Times New Roman" w:hAnsi="Times New Roman" w:eastAsia="宋体"/>
                <w:color w:val="auto"/>
                <w:sz w:val="21"/>
                <w:szCs w:val="21"/>
                <w:highlight w:val="none"/>
              </w:rPr>
              <w:t>二级标准</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48" w:type="dxa"/>
            <w:noWrap w:val="0"/>
            <w:vAlign w:val="center"/>
          </w:tcPr>
          <w:p>
            <w:pPr>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声环境</w:t>
            </w:r>
          </w:p>
        </w:tc>
        <w:tc>
          <w:tcPr>
            <w:tcW w:w="4575" w:type="dxa"/>
            <w:gridSpan w:val="3"/>
            <w:noWrap w:val="0"/>
            <w:vAlign w:val="center"/>
          </w:tcPr>
          <w:p>
            <w:pPr>
              <w:keepNext/>
              <w:jc w:val="center"/>
              <w:textAlignment w:val="center"/>
              <w:rPr>
                <w:rFonts w:ascii="Times New Roman" w:hAnsi="Times New Roman" w:eastAsia="宋体"/>
                <w:bCs/>
                <w:color w:val="auto"/>
                <w:sz w:val="21"/>
                <w:szCs w:val="21"/>
                <w:highlight w:val="none"/>
              </w:rPr>
            </w:pPr>
            <w:r>
              <w:rPr>
                <w:rFonts w:ascii="Times New Roman" w:hAnsi="Times New Roman" w:eastAsia="宋体"/>
                <w:color w:val="auto"/>
                <w:sz w:val="21"/>
                <w:szCs w:val="21"/>
                <w:highlight w:val="none"/>
              </w:rPr>
              <w:t>项目周围200m范围内</w:t>
            </w:r>
          </w:p>
        </w:tc>
        <w:tc>
          <w:tcPr>
            <w:tcW w:w="2901" w:type="dxa"/>
            <w:noWrap w:val="0"/>
            <w:vAlign w:val="center"/>
          </w:tcPr>
          <w:p>
            <w:pPr>
              <w:keepNext/>
              <w:ind w:left="0" w:leftChars="0" w:firstLine="0" w:firstLineChars="0"/>
              <w:jc w:val="center"/>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《声环境质量标准》（GB3096-2008）</w:t>
            </w:r>
            <w:r>
              <w:rPr>
                <w:rFonts w:hint="eastAsia" w:ascii="Times New Roman" w:hAnsi="Times New Roman" w:eastAsia="宋体"/>
                <w:color w:val="auto"/>
                <w:sz w:val="21"/>
                <w:szCs w:val="21"/>
                <w:highlight w:val="none"/>
                <w:lang w:val="en-US" w:eastAsia="zh-CN"/>
              </w:rPr>
              <w:t>2</w:t>
            </w:r>
            <w:r>
              <w:rPr>
                <w:rFonts w:ascii="Times New Roman" w:hAnsi="Times New Roman" w:eastAsia="宋体"/>
                <w:color w:val="auto"/>
                <w:sz w:val="21"/>
                <w:szCs w:val="21"/>
                <w:highlight w:val="none"/>
              </w:rPr>
              <w:t>类标准</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color w:val="auto"/>
          <w:highlight w:val="none"/>
        </w:rPr>
      </w:pPr>
      <w:bookmarkStart w:id="156" w:name="_Toc27586"/>
      <w:r>
        <w:rPr>
          <w:rFonts w:ascii="Times New Roman" w:hAnsi="Times New Roman" w:eastAsia="宋体"/>
          <w:b/>
          <w:bCs/>
          <w:color w:val="auto"/>
          <w:highlight w:val="none"/>
        </w:rPr>
        <w:t>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 xml:space="preserve"> 环境质量现状评价</w:t>
      </w:r>
      <w:bookmarkEnd w:id="156"/>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57" w:name="_Toc10086"/>
      <w:r>
        <w:rPr>
          <w:rFonts w:hint="eastAsia" w:ascii="Times New Roman" w:hAnsi="Times New Roman" w:eastAsia="宋体"/>
          <w:b/>
          <w:bCs w:val="0"/>
          <w:color w:val="auto"/>
          <w:sz w:val="30"/>
          <w:szCs w:val="30"/>
          <w:highlight w:val="none"/>
        </w:rPr>
        <w:t>4.</w:t>
      </w:r>
      <w:r>
        <w:rPr>
          <w:rFonts w:hint="eastAsia" w:ascii="Times New Roman" w:hAnsi="Times New Roman" w:eastAsia="宋体"/>
          <w:b/>
          <w:bCs w:val="0"/>
          <w:color w:val="auto"/>
          <w:sz w:val="30"/>
          <w:szCs w:val="30"/>
          <w:highlight w:val="none"/>
          <w:lang w:val="en-US" w:eastAsia="zh-CN"/>
        </w:rPr>
        <w:t>2</w:t>
      </w:r>
      <w:r>
        <w:rPr>
          <w:rFonts w:hint="eastAsia" w:ascii="Times New Roman" w:hAnsi="Times New Roman" w:eastAsia="宋体"/>
          <w:b/>
          <w:bCs w:val="0"/>
          <w:color w:val="auto"/>
          <w:sz w:val="30"/>
          <w:szCs w:val="30"/>
          <w:highlight w:val="none"/>
        </w:rPr>
        <w:t>.1 环境空气质量现状评价</w:t>
      </w:r>
      <w:bookmarkEnd w:id="157"/>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区域环境质量现状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本项目所在地环境空气质量为二类功能区，因此该地区环境空气质量执行《环境空气质量标准》</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GB3095-2012</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中的二级标准。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根据内蒙古自治区环境保护厅20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w:t>
      </w:r>
      <w:r>
        <w:rPr>
          <w:rFonts w:hint="eastAsia" w:eastAsia="宋体"/>
          <w:color w:val="auto"/>
          <w:highlight w:val="none"/>
          <w:lang w:val="en-US" w:eastAsia="zh-CN"/>
        </w:rPr>
        <w:t>6</w:t>
      </w:r>
      <w:r>
        <w:rPr>
          <w:rFonts w:hint="default" w:ascii="Times New Roman" w:hAnsi="Times New Roman" w:eastAsia="宋体"/>
          <w:color w:val="auto"/>
          <w:highlight w:val="none"/>
        </w:rPr>
        <w:t>月</w:t>
      </w:r>
      <w:r>
        <w:rPr>
          <w:rFonts w:hint="eastAsia" w:eastAsia="宋体"/>
          <w:color w:val="auto"/>
          <w:highlight w:val="none"/>
          <w:lang w:val="en-US" w:eastAsia="zh-CN"/>
        </w:rPr>
        <w:t>5</w:t>
      </w:r>
      <w:r>
        <w:rPr>
          <w:rFonts w:hint="default" w:ascii="Times New Roman" w:hAnsi="Times New Roman" w:eastAsia="宋体"/>
          <w:color w:val="auto"/>
          <w:highlight w:val="none"/>
        </w:rPr>
        <w:t>日发布的20</w:t>
      </w:r>
      <w:r>
        <w:rPr>
          <w:rFonts w:hint="eastAsia" w:eastAsia="宋体"/>
          <w:color w:val="auto"/>
          <w:highlight w:val="none"/>
          <w:lang w:val="en-US" w:eastAsia="zh-CN"/>
        </w:rPr>
        <w:t>20</w:t>
      </w:r>
      <w:r>
        <w:rPr>
          <w:rFonts w:hint="default" w:ascii="Times New Roman" w:hAnsi="Times New Roman" w:eastAsia="宋体"/>
          <w:color w:val="auto"/>
          <w:highlight w:val="none"/>
        </w:rPr>
        <w:t>年度内蒙古自治区生态环境状况公报，锡林郭勒盟环境空气质量较好，采用国控自动监测站点的监测数据，环境空气评价因子为SO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、CO、O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等。PM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9</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26</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3</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0</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，CO日平均浓度为0.</w:t>
      </w:r>
      <w:r>
        <w:rPr>
          <w:rFonts w:hint="eastAsia" w:eastAsia="宋体"/>
          <w:color w:val="auto"/>
          <w:highlight w:val="none"/>
          <w:lang w:val="en-US" w:eastAsia="zh-CN"/>
        </w:rPr>
        <w:t>5</w:t>
      </w:r>
      <w:r>
        <w:rPr>
          <w:rFonts w:hint="default" w:ascii="Times New Roman" w:hAnsi="Times New Roman" w:eastAsia="宋体"/>
          <w:color w:val="auto"/>
          <w:highlight w:val="none"/>
        </w:rPr>
        <w:t>mg/m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日最大8小时平均浓度为1</w:t>
      </w:r>
      <w:r>
        <w:rPr>
          <w:rFonts w:hint="eastAsia" w:eastAsia="宋体"/>
          <w:color w:val="auto"/>
          <w:highlight w:val="none"/>
          <w:lang w:val="en-US" w:eastAsia="zh-CN"/>
        </w:rPr>
        <w:t>1</w:t>
      </w:r>
      <w:r>
        <w:rPr>
          <w:rFonts w:hint="eastAsia" w:ascii="Times New Roman" w:hAnsi="Times New Roman" w:eastAsia="宋体"/>
          <w:color w:val="auto"/>
          <w:highlight w:val="none"/>
          <w:lang w:val="en-US" w:eastAsia="zh-CN"/>
        </w:rPr>
        <w:t>2</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，其中SO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年均值浓度低于《环境空气质量标准》（GB3095-2012）及其修改单中规定的标准限值，CO</w:t>
      </w:r>
      <w:r>
        <w:rPr>
          <w:rFonts w:hint="default" w:ascii="Times New Roman" w:hAnsi="Times New Roman" w:eastAsia="宋体"/>
          <w:color w:val="auto"/>
          <w:highlight w:val="none"/>
          <w:vertAlign w:val="baseline"/>
        </w:rPr>
        <w:t>2</w:t>
      </w:r>
      <w:r>
        <w:rPr>
          <w:rFonts w:hint="default" w:ascii="Times New Roman" w:hAnsi="Times New Roman" w:eastAsia="宋体"/>
          <w:color w:val="auto"/>
          <w:highlight w:val="none"/>
        </w:rPr>
        <w:t>4小时均值浓度限值和O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日最大8小时平均浓度低于《环境空气质量标准》（GB3095-2012）及其修改单中规定的标准限值，区域环境质量达标。</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yellow"/>
        </w:rPr>
      </w:pPr>
      <w:r>
        <w:rPr>
          <w:rFonts w:hint="default" w:ascii="Times New Roman" w:hAnsi="Times New Roman" w:eastAsia="宋体"/>
          <w:color w:val="auto"/>
          <w:highlight w:val="none"/>
        </w:rPr>
        <w:t>根据20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年4月</w:t>
      </w:r>
      <w:r>
        <w:rPr>
          <w:rFonts w:hint="eastAsia" w:eastAsia="宋体"/>
          <w:color w:val="auto"/>
          <w:highlight w:val="none"/>
          <w:lang w:val="en-US" w:eastAsia="zh-CN"/>
        </w:rPr>
        <w:t>12</w:t>
      </w:r>
      <w:r>
        <w:rPr>
          <w:rFonts w:hint="default" w:ascii="Times New Roman" w:hAnsi="Times New Roman" w:eastAsia="宋体"/>
          <w:color w:val="auto"/>
          <w:highlight w:val="none"/>
        </w:rPr>
        <w:t>日发布的城市空气质量月报，</w:t>
      </w:r>
      <w:r>
        <w:rPr>
          <w:rFonts w:hint="eastAsia" w:eastAsia="宋体"/>
          <w:color w:val="auto"/>
          <w:highlight w:val="none"/>
          <w:lang w:val="en-US" w:eastAsia="zh-CN"/>
        </w:rPr>
        <w:t>苏尼特右旗</w:t>
      </w:r>
      <w:r>
        <w:rPr>
          <w:rFonts w:hint="default" w:ascii="Times New Roman" w:hAnsi="Times New Roman" w:eastAsia="宋体"/>
          <w:color w:val="auto"/>
          <w:highlight w:val="none"/>
        </w:rPr>
        <w:t>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年3月达标天数比例为</w:t>
      </w:r>
      <w:r>
        <w:rPr>
          <w:rFonts w:hint="eastAsia" w:eastAsia="宋体"/>
          <w:color w:val="auto"/>
          <w:highlight w:val="none"/>
          <w:lang w:val="en-US" w:eastAsia="zh-CN"/>
        </w:rPr>
        <w:t>87.1</w:t>
      </w:r>
      <w:r>
        <w:rPr>
          <w:rFonts w:hint="default" w:ascii="Times New Roman" w:hAnsi="Times New Roman" w:eastAsia="宋体"/>
          <w:color w:val="auto"/>
          <w:highlight w:val="none"/>
        </w:rPr>
        <w:t>%，根据20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年5月</w:t>
      </w:r>
      <w:r>
        <w:rPr>
          <w:rFonts w:hint="eastAsia" w:eastAsia="宋体"/>
          <w:color w:val="auto"/>
          <w:highlight w:val="none"/>
          <w:lang w:val="en-US" w:eastAsia="zh-CN"/>
        </w:rPr>
        <w:t>13</w:t>
      </w:r>
      <w:r>
        <w:rPr>
          <w:rFonts w:hint="default" w:ascii="Times New Roman" w:hAnsi="Times New Roman" w:eastAsia="宋体"/>
          <w:color w:val="auto"/>
          <w:highlight w:val="none"/>
        </w:rPr>
        <w:t>日发布的城市空气质量月报，</w:t>
      </w:r>
      <w:r>
        <w:rPr>
          <w:rFonts w:hint="eastAsia" w:eastAsia="宋体"/>
          <w:color w:val="auto"/>
          <w:highlight w:val="none"/>
          <w:lang w:val="en-US" w:eastAsia="zh-CN"/>
        </w:rPr>
        <w:t>苏尼特右旗</w:t>
      </w:r>
      <w:r>
        <w:rPr>
          <w:rFonts w:hint="default" w:ascii="Times New Roman" w:hAnsi="Times New Roman" w:eastAsia="宋体"/>
          <w:color w:val="auto"/>
          <w:highlight w:val="none"/>
        </w:rPr>
        <w:t>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年4月达标天数比例为9</w:t>
      </w:r>
      <w:r>
        <w:rPr>
          <w:rFonts w:hint="eastAsia" w:eastAsia="宋体"/>
          <w:color w:val="auto"/>
          <w:highlight w:val="none"/>
          <w:lang w:val="en-US" w:eastAsia="zh-CN"/>
        </w:rPr>
        <w:t>3.1</w:t>
      </w:r>
      <w:r>
        <w:rPr>
          <w:rFonts w:hint="default"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环境质量现状监测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为了解项目拟建地环境空气质量现状，根据该项目拟建地的目前状况，本次环评在项目拟建设厂址</w:t>
      </w:r>
      <w:r>
        <w:rPr>
          <w:rFonts w:hint="eastAsia" w:eastAsia="宋体"/>
          <w:color w:val="auto"/>
          <w:highlight w:val="none"/>
          <w:lang w:val="en-US" w:eastAsia="zh-CN"/>
        </w:rPr>
        <w:t>下风向</w:t>
      </w:r>
      <w:r>
        <w:rPr>
          <w:rFonts w:hint="eastAsia" w:ascii="Times New Roman" w:hAnsi="Times New Roman" w:eastAsia="宋体"/>
          <w:color w:val="auto"/>
          <w:highlight w:val="none"/>
        </w:rPr>
        <w:t>设监测点进行监测，委托检测单位为</w:t>
      </w:r>
      <w:r>
        <w:rPr>
          <w:rFonts w:hint="eastAsia" w:ascii="Times New Roman" w:hAnsi="Times New Roman" w:eastAsia="宋体"/>
          <w:color w:val="auto"/>
          <w:highlight w:val="none"/>
          <w:lang w:val="en-US" w:eastAsia="zh-CN"/>
        </w:rPr>
        <w:t>锡林郭勒盟永创环保科技有限公司</w:t>
      </w:r>
      <w:r>
        <w:rPr>
          <w:rFonts w:hint="eastAsia" w:ascii="Times New Roman" w:hAnsi="Times New Roman" w:eastAsia="宋体"/>
          <w:color w:val="auto"/>
          <w:highlight w:val="none"/>
        </w:rPr>
        <w:t>。监测点具体情况见表4.</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-1和</w:t>
      </w:r>
      <w:r>
        <w:rPr>
          <w:rFonts w:hint="eastAsia" w:eastAsia="宋体"/>
          <w:color w:val="auto"/>
          <w:highlight w:val="none"/>
          <w:lang w:val="en-US" w:eastAsia="zh-CN"/>
        </w:rPr>
        <w:t>附</w:t>
      </w:r>
      <w:r>
        <w:rPr>
          <w:rFonts w:hint="eastAsia" w:ascii="Times New Roman" w:hAnsi="Times New Roman" w:eastAsia="宋体"/>
          <w:color w:val="auto"/>
          <w:highlight w:val="none"/>
        </w:rPr>
        <w:t>图</w:t>
      </w:r>
      <w:r>
        <w:rPr>
          <w:rFonts w:hint="eastAsia" w:eastAsia="宋体"/>
          <w:color w:val="auto"/>
          <w:highlight w:val="none"/>
          <w:lang w:val="en-US" w:eastAsia="zh-CN"/>
        </w:rPr>
        <w:t>8</w:t>
      </w:r>
      <w:r>
        <w:rPr>
          <w:rFonts w:hint="eastAsia" w:ascii="Times New Roman" w:hAnsi="Times New Roman" w:eastAsia="宋体"/>
          <w:color w:val="auto"/>
          <w:highlight w:val="none"/>
        </w:rPr>
        <w:t>。</w:t>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-1   环境空气质量现状监测点一览表</w:t>
      </w:r>
    </w:p>
    <w:tbl>
      <w:tblPr>
        <w:tblStyle w:val="57"/>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74"/>
        <w:gridCol w:w="1560"/>
        <w:gridCol w:w="989"/>
        <w:gridCol w:w="1986"/>
        <w:gridCol w:w="217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编号</w:t>
            </w:r>
          </w:p>
        </w:tc>
        <w:tc>
          <w:tcPr>
            <w:tcW w:w="1174"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名称</w:t>
            </w:r>
          </w:p>
        </w:tc>
        <w:tc>
          <w:tcPr>
            <w:tcW w:w="1560"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距厂界距离m</w:t>
            </w:r>
          </w:p>
        </w:tc>
        <w:tc>
          <w:tcPr>
            <w:tcW w:w="989"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方位</w:t>
            </w:r>
          </w:p>
        </w:tc>
        <w:tc>
          <w:tcPr>
            <w:tcW w:w="1986"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rPr>
              <w:t>坐标</w:t>
            </w:r>
          </w:p>
        </w:tc>
        <w:tc>
          <w:tcPr>
            <w:tcW w:w="2177"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36" w:type="dxa"/>
            <w:tcBorders>
              <w:tl2br w:val="nil"/>
              <w:tr2bl w:val="nil"/>
            </w:tcBorders>
            <w:vAlign w:val="center"/>
          </w:tcPr>
          <w:p>
            <w:pPr>
              <w:autoSpaceDE w:val="0"/>
              <w:autoSpaceDN w:val="0"/>
              <w:spacing w:line="240" w:lineRule="auto"/>
              <w:ind w:firstLine="0" w:firstLineChars="0"/>
              <w:jc w:val="center"/>
              <w:rPr>
                <w:rFonts w:hint="eastAsia" w:ascii="Times New Roman" w:hAnsi="Times New Roman" w:eastAsia="宋体" w:cstheme="minorBidi"/>
                <w:color w:val="auto"/>
                <w:sz w:val="21"/>
                <w:szCs w:val="21"/>
                <w:highlight w:val="none"/>
                <w:lang w:val="zh-CN" w:eastAsia="zh-CN"/>
              </w:rPr>
            </w:pPr>
            <w:r>
              <w:rPr>
                <w:rFonts w:hint="eastAsia" w:ascii="Times New Roman" w:hAnsi="Times New Roman" w:eastAsia="宋体" w:cstheme="minorBidi"/>
                <w:color w:val="auto"/>
                <w:sz w:val="21"/>
                <w:szCs w:val="21"/>
                <w:highlight w:val="none"/>
                <w:lang w:val="en-US" w:eastAsia="zh-CN"/>
              </w:rPr>
              <w:t>1</w:t>
            </w:r>
          </w:p>
        </w:tc>
        <w:tc>
          <w:tcPr>
            <w:tcW w:w="1174"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厂址下风向</w:t>
            </w:r>
          </w:p>
        </w:tc>
        <w:tc>
          <w:tcPr>
            <w:tcW w:w="1560"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500</w:t>
            </w:r>
          </w:p>
        </w:tc>
        <w:tc>
          <w:tcPr>
            <w:tcW w:w="989"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rPr>
              <w:t>东北</w:t>
            </w:r>
          </w:p>
        </w:tc>
        <w:tc>
          <w:tcPr>
            <w:tcW w:w="1986"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zh-CN" w:eastAsia="zh-CN"/>
              </w:rPr>
            </w:pPr>
            <w:r>
              <w:rPr>
                <w:rFonts w:hint="eastAsia" w:ascii="Times New Roman" w:hAnsi="Times New Roman" w:eastAsia="宋体" w:cstheme="minorBidi"/>
                <w:color w:val="auto"/>
                <w:sz w:val="21"/>
                <w:szCs w:val="21"/>
                <w:highlight w:val="none"/>
                <w:lang w:val="zh-CN" w:eastAsia="zh-CN"/>
              </w:rPr>
              <w:t>N：42.</w:t>
            </w:r>
            <w:r>
              <w:rPr>
                <w:rFonts w:hint="eastAsia" w:ascii="Times New Roman" w:hAnsi="Times New Roman" w:eastAsia="宋体" w:cstheme="minorBidi"/>
                <w:color w:val="auto"/>
                <w:sz w:val="21"/>
                <w:szCs w:val="21"/>
                <w:highlight w:val="none"/>
                <w:lang w:val="en-US" w:eastAsia="zh-CN"/>
              </w:rPr>
              <w:t>468200</w:t>
            </w:r>
            <w:r>
              <w:rPr>
                <w:rFonts w:hint="eastAsia" w:ascii="Times New Roman" w:hAnsi="Times New Roman" w:eastAsia="宋体" w:cstheme="minorBidi"/>
                <w:color w:val="auto"/>
                <w:sz w:val="21"/>
                <w:szCs w:val="21"/>
                <w:highlight w:val="none"/>
                <w:lang w:val="zh-CN" w:eastAsia="zh-CN"/>
              </w:rPr>
              <w:t>︒</w:t>
            </w:r>
          </w:p>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eastAsia="zh-CN"/>
              </w:rPr>
              <w:t>E:112.</w:t>
            </w:r>
            <w:r>
              <w:rPr>
                <w:rFonts w:hint="eastAsia" w:ascii="Times New Roman" w:hAnsi="Times New Roman" w:eastAsia="宋体" w:cstheme="minorBidi"/>
                <w:color w:val="auto"/>
                <w:sz w:val="21"/>
                <w:szCs w:val="21"/>
                <w:highlight w:val="none"/>
                <w:lang w:val="en-US" w:eastAsia="zh-CN"/>
              </w:rPr>
              <w:t>865119</w:t>
            </w:r>
            <w:r>
              <w:rPr>
                <w:rFonts w:hint="eastAsia" w:ascii="Times New Roman" w:hAnsi="Times New Roman" w:eastAsia="宋体" w:cstheme="minorBidi"/>
                <w:color w:val="auto"/>
                <w:sz w:val="21"/>
                <w:szCs w:val="21"/>
                <w:highlight w:val="none"/>
                <w:lang w:val="zh-CN" w:eastAsia="zh-CN"/>
              </w:rPr>
              <w:t>︒</w:t>
            </w:r>
          </w:p>
        </w:tc>
        <w:tc>
          <w:tcPr>
            <w:tcW w:w="2177"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zh-CN"/>
              </w:rPr>
              <w:t>监测数据。关注点，厂区内，监测因子</w:t>
            </w:r>
            <w:r>
              <w:rPr>
                <w:rFonts w:hint="eastAsia" w:ascii="Times New Roman" w:hAnsi="Times New Roman" w:eastAsia="宋体" w:cstheme="minorBidi"/>
                <w:color w:val="auto"/>
                <w:sz w:val="21"/>
                <w:szCs w:val="21"/>
                <w:highlight w:val="none"/>
                <w:lang w:val="en-US" w:eastAsia="zh-CN"/>
              </w:rPr>
              <w:t>TSP</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（1）</w:t>
      </w:r>
      <w:r>
        <w:rPr>
          <w:rFonts w:hint="eastAsia" w:ascii="Times New Roman" w:hAnsi="Times New Roman" w:eastAsia="宋体"/>
          <w:color w:val="auto"/>
          <w:highlight w:val="none"/>
        </w:rPr>
        <w:t>监测因子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TSP</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（2）监测时间与频次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监测点位连续监测7天；</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olor w:val="auto"/>
          <w:highlight w:val="none"/>
          <w:lang w:val="en-US" w:eastAsia="zh-CN"/>
        </w:rPr>
        <w:t>氟化物和</w:t>
      </w:r>
      <w:r>
        <w:rPr>
          <w:rFonts w:hint="eastAsia" w:ascii="Times New Roman" w:hAnsi="Times New Roman" w:eastAsia="宋体" w:cs="Times New Roman"/>
          <w:color w:val="auto"/>
          <w:kern w:val="2"/>
          <w:sz w:val="24"/>
          <w:szCs w:val="22"/>
          <w:highlight w:val="none"/>
          <w:lang w:val="en-US" w:eastAsia="zh-CN" w:bidi="ar-SA"/>
        </w:rPr>
        <w:t>TSP日均浓度为24小时连续监测。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（3）监测方法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b/>
          <w:bCs/>
          <w:color w:val="auto"/>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Times New Roman" w:hAnsi="Times New Roman" w:eastAsia="宋体"/>
          <w:color w:val="auto"/>
          <w:highlight w:val="none"/>
        </w:rPr>
        <w:t>采样及分析方法严格按照《环境空气质量手工监测技术规范（试行）》（HJ/T194-2005）要求执行。监测仪器、分析方法见表4.4-2。</w:t>
      </w:r>
      <w:r>
        <w:rPr>
          <w:rFonts w:ascii="Times New Roman" w:hAnsi="Times New Roman" w:eastAsia="宋体"/>
          <w:snapToGrid w:val="0"/>
          <w:color w:val="auto"/>
          <w:w w:val="0"/>
          <w:kern w:val="0"/>
          <w:sz w:val="0"/>
          <w:szCs w:val="0"/>
          <w:highlight w:val="yellow"/>
          <w:u w:color="000000"/>
          <w:shd w:val="clear" w:color="000000" w:fill="000000"/>
          <w:lang w:val="zh-CN" w:eastAsia="zh-CN" w:bidi="zh-CN"/>
        </w:rPr>
        <w:t xml:space="preserve"> </w:t>
      </w:r>
    </w:p>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 xml:space="preserve">-2 </w:t>
      </w:r>
      <w:r>
        <w:rPr>
          <w:rFonts w:ascii="Times New Roman" w:hAnsi="Times New Roman" w:eastAsia="宋体"/>
          <w:b/>
          <w:bCs/>
          <w:color w:val="auto"/>
          <w:highlight w:val="none"/>
        </w:rPr>
        <w:t xml:space="preserve"> 环境空气质量监测项目分析方法</w:t>
      </w:r>
    </w:p>
    <w:tbl>
      <w:tblPr>
        <w:tblStyle w:val="58"/>
        <w:tblW w:w="85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782"/>
        <w:gridCol w:w="1650"/>
        <w:gridCol w:w="1910"/>
        <w:gridCol w:w="20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tcBorders>
              <w:tl2br w:val="nil"/>
              <w:tr2bl w:val="nil"/>
            </w:tcBorders>
            <w:vAlign w:val="center"/>
          </w:tcPr>
          <w:p>
            <w:pPr>
              <w:pStyle w:val="52"/>
              <w:rPr>
                <w:rFonts w:ascii="Times New Roman" w:hAnsi="Times New Roman" w:eastAsia="宋体" w:cstheme="minorBidi"/>
                <w:color w:val="auto"/>
                <w:highlight w:val="none"/>
              </w:rPr>
            </w:pPr>
            <w:r>
              <w:rPr>
                <w:rFonts w:ascii="Times New Roman" w:hAnsi="Times New Roman" w:eastAsia="宋体" w:cstheme="minorBidi"/>
                <w:color w:val="auto"/>
                <w:highlight w:val="none"/>
              </w:rPr>
              <w:t>监测项目</w:t>
            </w:r>
          </w:p>
        </w:tc>
        <w:tc>
          <w:tcPr>
            <w:tcW w:w="1782"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分析方法</w:t>
            </w:r>
          </w:p>
        </w:tc>
        <w:tc>
          <w:tcPr>
            <w:tcW w:w="1650" w:type="dxa"/>
            <w:tcBorders>
              <w:tl2br w:val="nil"/>
              <w:tr2bl w:val="nil"/>
            </w:tcBorders>
            <w:vAlign w:val="center"/>
          </w:tcPr>
          <w:p>
            <w:pPr>
              <w:pStyle w:val="52"/>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方法来源</w:t>
            </w:r>
          </w:p>
        </w:tc>
        <w:tc>
          <w:tcPr>
            <w:tcW w:w="1910" w:type="dxa"/>
            <w:tcBorders>
              <w:tl2br w:val="nil"/>
              <w:tr2bl w:val="nil"/>
            </w:tcBorders>
            <w:vAlign w:val="center"/>
          </w:tcPr>
          <w:p>
            <w:pPr>
              <w:pStyle w:val="52"/>
              <w:rPr>
                <w:rFonts w:ascii="Times New Roman" w:hAnsi="Times New Roman" w:eastAsia="宋体" w:cstheme="minorBidi"/>
                <w:color w:val="auto"/>
                <w:highlight w:val="none"/>
              </w:rPr>
            </w:pPr>
            <w:r>
              <w:rPr>
                <w:rFonts w:ascii="Times New Roman" w:hAnsi="Times New Roman" w:eastAsia="宋体" w:cstheme="minorBidi"/>
                <w:color w:val="auto"/>
                <w:highlight w:val="none"/>
              </w:rPr>
              <w:t>仪器名称型号</w:t>
            </w:r>
          </w:p>
        </w:tc>
        <w:tc>
          <w:tcPr>
            <w:tcW w:w="2018"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方法检出限或测定范围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157"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TSP</w:t>
            </w:r>
          </w:p>
        </w:tc>
        <w:tc>
          <w:tcPr>
            <w:tcW w:w="1782" w:type="dxa"/>
            <w:tcBorders>
              <w:tl2br w:val="nil"/>
              <w:tr2bl w:val="nil"/>
            </w:tcBorders>
            <w:vAlign w:val="center"/>
          </w:tcPr>
          <w:p>
            <w:pPr>
              <w:pStyle w:val="52"/>
              <w:rPr>
                <w:rFonts w:hint="default" w:ascii="Times New Roman" w:hAnsi="Times New Roman" w:eastAsia="宋体" w:cstheme="minorBidi"/>
                <w:color w:val="auto"/>
                <w:szCs w:val="24"/>
                <w:highlight w:val="none"/>
                <w:lang w:val="en-US" w:eastAsia="zh-CN"/>
              </w:rPr>
            </w:pPr>
            <w:r>
              <w:rPr>
                <w:rFonts w:hint="eastAsia" w:ascii="Times New Roman" w:hAnsi="Times New Roman" w:cstheme="minorBidi"/>
                <w:color w:val="auto"/>
                <w:szCs w:val="24"/>
                <w:highlight w:val="none"/>
                <w:lang w:val="en-US" w:eastAsia="zh-CN"/>
              </w:rPr>
              <w:t>重量法</w:t>
            </w:r>
          </w:p>
        </w:tc>
        <w:tc>
          <w:tcPr>
            <w:tcW w:w="1650"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GB/T 15432-1995</w:t>
            </w:r>
          </w:p>
        </w:tc>
        <w:tc>
          <w:tcPr>
            <w:tcW w:w="1910"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崂应2050型空气/智能TSP采样器</w:t>
            </w:r>
          </w:p>
        </w:tc>
        <w:tc>
          <w:tcPr>
            <w:tcW w:w="2018"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0.001mg/m</w:t>
            </w:r>
            <w:r>
              <w:rPr>
                <w:rFonts w:hint="eastAsia" w:ascii="Times New Roman" w:hAnsi="Times New Roman" w:cstheme="minorBidi"/>
                <w:color w:val="auto"/>
                <w:highlight w:val="none"/>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b w:val="0"/>
          <w:bCs w:val="0"/>
          <w:color w:val="auto"/>
          <w:highlight w:val="none"/>
        </w:rPr>
      </w:pP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lang w:val="en-US" w:eastAsia="zh-CN"/>
        </w:rPr>
        <w:t>4</w:t>
      </w: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rPr>
        <w:t xml:space="preserve">监测结果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b w:val="0"/>
          <w:bCs w:val="0"/>
          <w:color w:val="auto"/>
          <w:highlight w:val="none"/>
        </w:rPr>
      </w:pPr>
      <w:r>
        <w:rPr>
          <w:rFonts w:hint="eastAsia" w:ascii="Times New Roman" w:hAnsi="Times New Roman" w:eastAsia="宋体"/>
          <w:b w:val="0"/>
          <w:bCs w:val="0"/>
          <w:color w:val="auto"/>
          <w:highlight w:val="none"/>
          <w:lang w:val="en-US" w:eastAsia="zh-CN"/>
        </w:rPr>
        <w:t>监测时间为20</w:t>
      </w:r>
      <w:r>
        <w:rPr>
          <w:rFonts w:hint="eastAsia" w:eastAsia="宋体"/>
          <w:b w:val="0"/>
          <w:bCs w:val="0"/>
          <w:color w:val="auto"/>
          <w:highlight w:val="none"/>
          <w:lang w:val="en-US" w:eastAsia="zh-CN"/>
        </w:rPr>
        <w:t>21</w:t>
      </w:r>
      <w:r>
        <w:rPr>
          <w:rFonts w:hint="eastAsia" w:ascii="Times New Roman" w:hAnsi="Times New Roman" w:eastAsia="宋体"/>
          <w:b w:val="0"/>
          <w:bCs w:val="0"/>
          <w:color w:val="auto"/>
          <w:highlight w:val="none"/>
          <w:lang w:val="en-US" w:eastAsia="zh-CN"/>
        </w:rPr>
        <w:t>年</w:t>
      </w:r>
      <w:r>
        <w:rPr>
          <w:rFonts w:hint="eastAsia" w:eastAsia="宋体"/>
          <w:b w:val="0"/>
          <w:bCs w:val="0"/>
          <w:color w:val="auto"/>
          <w:highlight w:val="none"/>
          <w:lang w:val="en-US" w:eastAsia="zh-CN"/>
        </w:rPr>
        <w:t>3</w:t>
      </w:r>
      <w:r>
        <w:rPr>
          <w:rFonts w:hint="eastAsia" w:ascii="Times New Roman" w:hAnsi="Times New Roman" w:eastAsia="宋体"/>
          <w:b w:val="0"/>
          <w:bCs w:val="0"/>
          <w:color w:val="auto"/>
          <w:highlight w:val="none"/>
          <w:lang w:val="en-US" w:eastAsia="zh-CN"/>
        </w:rPr>
        <w:t>月3日~9日，</w:t>
      </w:r>
      <w:r>
        <w:rPr>
          <w:rFonts w:hint="eastAsia" w:ascii="Times New Roman" w:hAnsi="Times New Roman" w:eastAsia="宋体"/>
          <w:b w:val="0"/>
          <w:bCs w:val="0"/>
          <w:color w:val="auto"/>
          <w:highlight w:val="none"/>
        </w:rPr>
        <w:t>监测期间环境空气气象要素现场记录情况见表4.</w:t>
      </w:r>
      <w:r>
        <w:rPr>
          <w:rFonts w:hint="eastAsia" w:ascii="Times New Roman" w:hAnsi="Times New Roman" w:eastAsia="宋体"/>
          <w:b w:val="0"/>
          <w:bCs w:val="0"/>
          <w:color w:val="auto"/>
          <w:highlight w:val="none"/>
          <w:lang w:val="en-US" w:eastAsia="zh-CN"/>
        </w:rPr>
        <w:t>2</w:t>
      </w:r>
      <w:r>
        <w:rPr>
          <w:rFonts w:hint="eastAsia" w:ascii="Times New Roman" w:hAnsi="Times New Roman" w:eastAsia="宋体"/>
          <w:b w:val="0"/>
          <w:bCs w:val="0"/>
          <w:color w:val="auto"/>
          <w:highlight w:val="none"/>
        </w:rPr>
        <w:t>-3。</w:t>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-3   本项目监测期间环境空气气象要素现场记录表</w:t>
      </w:r>
    </w:p>
    <w:tbl>
      <w:tblPr>
        <w:tblStyle w:val="35"/>
        <w:tblW w:w="86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855"/>
        <w:gridCol w:w="1241"/>
        <w:gridCol w:w="1868"/>
        <w:gridCol w:w="15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65"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测定日期</w:t>
            </w:r>
          </w:p>
        </w:tc>
        <w:tc>
          <w:tcPr>
            <w:tcW w:w="1855"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大气压（kPa）</w:t>
            </w:r>
          </w:p>
        </w:tc>
        <w:tc>
          <w:tcPr>
            <w:tcW w:w="1241"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温度（℃）</w:t>
            </w:r>
          </w:p>
        </w:tc>
        <w:tc>
          <w:tcPr>
            <w:tcW w:w="1868"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风向</w:t>
            </w:r>
          </w:p>
        </w:tc>
        <w:tc>
          <w:tcPr>
            <w:tcW w:w="1588"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风速（m/s）</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65"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855"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241"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868"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588"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2021.3.3</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89.78</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5.2</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2021.3.4</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89.57</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4.7</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2021.3.5</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89.84</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-8.4</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2021.3.6</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89.90</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-3.8</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2021.3.7</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89.24</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6.3</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2021.3.8</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89.15</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8.5</w:t>
            </w:r>
          </w:p>
        </w:tc>
        <w:tc>
          <w:tcPr>
            <w:tcW w:w="1868" w:type="dxa"/>
            <w:tcBorders>
              <w:tl2br w:val="nil"/>
              <w:tr2bl w:val="nil"/>
            </w:tcBorders>
            <w:shd w:val="clear" w:color="000000" w:fill="auto"/>
            <w:vAlign w:val="center"/>
          </w:tcPr>
          <w:p>
            <w:pPr>
              <w:pStyle w:val="52"/>
              <w:jc w:val="center"/>
              <w:rPr>
                <w:rFonts w:hint="eastAsia"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2021.3.9</w:t>
            </w:r>
          </w:p>
        </w:tc>
        <w:tc>
          <w:tcPr>
            <w:tcW w:w="185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89.11</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7.3</w:t>
            </w:r>
          </w:p>
        </w:tc>
        <w:tc>
          <w:tcPr>
            <w:tcW w:w="1868" w:type="dxa"/>
            <w:tcBorders>
              <w:tl2br w:val="nil"/>
              <w:tr2bl w:val="nil"/>
            </w:tcBorders>
            <w:shd w:val="clear" w:color="000000" w:fill="auto"/>
            <w:vAlign w:val="center"/>
          </w:tcPr>
          <w:p>
            <w:pPr>
              <w:pStyle w:val="52"/>
              <w:jc w:val="center"/>
              <w:rPr>
                <w:rFonts w:hint="eastAsia"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2.1</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textAlignment w:val="auto"/>
        <w:rPr>
          <w:rFonts w:ascii="Times New Roman" w:hAnsi="Times New Roman" w:eastAsia="宋体"/>
          <w:b w:val="0"/>
          <w:bCs w:val="0"/>
          <w:color w:val="auto"/>
          <w:highlight w:val="none"/>
        </w:rPr>
      </w:pPr>
      <w:r>
        <w:rPr>
          <w:rFonts w:hint="eastAsia" w:ascii="Times New Roman" w:hAnsi="Times New Roman" w:eastAsia="宋体"/>
          <w:b w:val="0"/>
          <w:bCs w:val="0"/>
          <w:color w:val="auto"/>
          <w:highlight w:val="none"/>
        </w:rPr>
        <w:t>监测期间</w:t>
      </w:r>
      <w:r>
        <w:rPr>
          <w:rFonts w:hint="eastAsia" w:ascii="Times New Roman" w:hAnsi="Times New Roman" w:eastAsia="宋体"/>
          <w:b w:val="0"/>
          <w:bCs w:val="0"/>
          <w:color w:val="auto"/>
          <w:highlight w:val="none"/>
          <w:lang w:val="en-US" w:eastAsia="zh-CN"/>
        </w:rPr>
        <w:t>TSP</w:t>
      </w:r>
      <w:r>
        <w:rPr>
          <w:rFonts w:hint="eastAsia" w:ascii="Times New Roman" w:hAnsi="Times New Roman" w:eastAsia="宋体"/>
          <w:b w:val="0"/>
          <w:bCs w:val="0"/>
          <w:color w:val="auto"/>
          <w:highlight w:val="none"/>
        </w:rPr>
        <w:t>的</w:t>
      </w:r>
      <w:r>
        <w:rPr>
          <w:rFonts w:hint="eastAsia" w:ascii="Times New Roman" w:hAnsi="Times New Roman" w:eastAsia="宋体"/>
          <w:b w:val="0"/>
          <w:bCs w:val="0"/>
          <w:color w:val="auto"/>
          <w:highlight w:val="none"/>
          <w:lang w:val="en-US" w:eastAsia="zh-CN"/>
        </w:rPr>
        <w:t>24</w:t>
      </w:r>
      <w:r>
        <w:rPr>
          <w:rFonts w:hint="eastAsia" w:ascii="Times New Roman" w:hAnsi="Times New Roman" w:eastAsia="宋体"/>
          <w:b w:val="0"/>
          <w:bCs w:val="0"/>
          <w:color w:val="auto"/>
          <w:highlight w:val="none"/>
        </w:rPr>
        <w:t>小时浓度监测结果统计分析见表4.</w:t>
      </w:r>
      <w:r>
        <w:rPr>
          <w:rFonts w:hint="eastAsia" w:ascii="Times New Roman" w:hAnsi="Times New Roman" w:eastAsia="宋体"/>
          <w:b w:val="0"/>
          <w:bCs w:val="0"/>
          <w:color w:val="auto"/>
          <w:highlight w:val="none"/>
          <w:lang w:val="en-US" w:eastAsia="zh-CN"/>
        </w:rPr>
        <w:t>2</w:t>
      </w:r>
      <w:r>
        <w:rPr>
          <w:rFonts w:hint="eastAsia" w:ascii="Times New Roman" w:hAnsi="Times New Roman" w:eastAsia="宋体"/>
          <w:b w:val="0"/>
          <w:bCs w:val="0"/>
          <w:color w:val="auto"/>
          <w:highlight w:val="none"/>
        </w:rPr>
        <w:t>-4。</w:t>
      </w:r>
    </w:p>
    <w:p>
      <w:pPr>
        <w:pStyle w:val="51"/>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表4.2-4</w:t>
      </w:r>
      <w:r>
        <w:rPr>
          <w:rFonts w:hint="eastAsia" w:ascii="Times New Roman" w:hAnsi="Times New Roman" w:eastAsia="宋体"/>
          <w:b/>
          <w:bCs/>
          <w:color w:val="auto"/>
          <w:highlight w:val="none"/>
        </w:rPr>
        <w:t xml:space="preserve"> </w:t>
      </w:r>
      <w:r>
        <w:rPr>
          <w:rFonts w:hint="eastAsia" w:ascii="Times New Roman" w:hAnsi="Times New Roman" w:eastAsia="宋体"/>
          <w:b/>
          <w:bCs/>
          <w:color w:val="auto"/>
          <w:highlight w:val="none"/>
          <w:lang w:val="en-US" w:eastAsia="zh-CN"/>
        </w:rPr>
        <w:t>氟化物和TSP24</w:t>
      </w:r>
      <w:r>
        <w:rPr>
          <w:rFonts w:hint="eastAsia" w:ascii="Times New Roman" w:hAnsi="Times New Roman" w:eastAsia="宋体"/>
          <w:b/>
          <w:bCs/>
          <w:color w:val="auto"/>
          <w:highlight w:val="none"/>
        </w:rPr>
        <w:t>小时浓度监测结果</w:t>
      </w:r>
    </w:p>
    <w:tbl>
      <w:tblPr>
        <w:tblStyle w:val="36"/>
        <w:tblW w:w="802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2"/>
        <w:gridCol w:w="431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监测日期</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监测结果（单位：</w:t>
            </w:r>
            <w:r>
              <w:rPr>
                <w:rFonts w:hint="default" w:ascii="Times New Roman" w:hAnsi="Times New Roman" w:eastAsia="宋体" w:cs="Times New Roman"/>
                <w:color w:val="auto"/>
                <w:sz w:val="21"/>
                <w:szCs w:val="21"/>
                <w:highlight w:val="none"/>
                <w:vertAlign w:val="baseline"/>
                <w:lang w:val="en-US" w:eastAsia="zh-CN"/>
              </w:rPr>
              <w:t>μg/m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宋体"/>
                <w:color w:val="auto"/>
                <w:sz w:val="21"/>
                <w:szCs w:val="21"/>
                <w:highlight w:val="none"/>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TSP</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宋体"/>
                <w:color w:val="auto"/>
                <w:sz w:val="21"/>
                <w:szCs w:val="21"/>
                <w:highlight w:val="none"/>
                <w:vertAlign w:val="baseline"/>
                <w:lang w:val="en-US"/>
              </w:rPr>
            </w:pP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下风向</w:t>
            </w:r>
            <w:r>
              <w:rPr>
                <w:rFonts w:hint="eastAsia" w:eastAsia="宋体" w:cs="宋体"/>
                <w:color w:val="auto"/>
                <w:sz w:val="21"/>
                <w:szCs w:val="21"/>
                <w:highlight w:val="none"/>
                <w:vertAlign w:val="baseline"/>
                <w:lang w:val="en-US" w:eastAsia="zh-CN"/>
              </w:rPr>
              <w:t>1</w:t>
            </w:r>
            <w:r>
              <w:rPr>
                <w:rFonts w:hint="eastAsia" w:ascii="Times New Roman" w:hAnsi="Times New Roman" w:eastAsia="宋体" w:cs="宋体"/>
                <w:color w:val="auto"/>
                <w:sz w:val="21"/>
                <w:szCs w:val="21"/>
                <w:highlight w:val="none"/>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2021.3.3</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0.088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2021.3.4</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0.081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2021.3.5</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0.094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2021.3.6</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0.072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2021.3.7</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0.083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2021.3.8</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0.074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2021.3.9</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0.097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《环境空气质量标准》（GB3095-2012）及其修改单</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300</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由以上分析可以看出，评价区域环境空气现状为：</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TSP：各监测点</w:t>
      </w:r>
      <w:r>
        <w:rPr>
          <w:rFonts w:hint="eastAsia" w:ascii="Times New Roman" w:hAnsi="Times New Roman" w:eastAsia="宋体"/>
          <w:color w:val="auto"/>
          <w:highlight w:val="none"/>
          <w:lang w:val="en-US" w:eastAsia="zh-CN"/>
        </w:rPr>
        <w:t>24小时</w:t>
      </w:r>
      <w:r>
        <w:rPr>
          <w:rFonts w:hint="eastAsia" w:ascii="Times New Roman" w:hAnsi="Times New Roman" w:eastAsia="宋体"/>
          <w:color w:val="auto"/>
          <w:highlight w:val="none"/>
          <w:lang w:eastAsia="zh-CN"/>
        </w:rPr>
        <w:t>平均浓度范围为“</w:t>
      </w:r>
      <w:r>
        <w:rPr>
          <w:rFonts w:hint="eastAsia" w:eastAsia="宋体"/>
          <w:color w:val="auto"/>
          <w:highlight w:val="none"/>
          <w:lang w:val="en-US" w:eastAsia="zh-CN"/>
        </w:rPr>
        <w:t>72</w:t>
      </w:r>
      <w:r>
        <w:rPr>
          <w:rFonts w:hint="eastAsia" w:ascii="Times New Roman" w:hAnsi="Times New Roman" w:eastAsia="宋体"/>
          <w:color w:val="auto"/>
          <w:highlight w:val="none"/>
          <w:lang w:eastAsia="zh-CN"/>
        </w:rPr>
        <w:t>-</w:t>
      </w:r>
      <w:r>
        <w:rPr>
          <w:rFonts w:hint="eastAsia" w:eastAsia="宋体"/>
          <w:color w:val="auto"/>
          <w:highlight w:val="none"/>
          <w:lang w:val="en-US" w:eastAsia="zh-CN"/>
        </w:rPr>
        <w:t>97</w:t>
      </w:r>
      <w:r>
        <w:rPr>
          <w:rFonts w:hint="default" w:ascii="Times New Roman" w:hAnsi="Times New Roman" w:eastAsia="宋体" w:cs="Times New Roman"/>
          <w:color w:val="auto"/>
          <w:highlight w:val="none"/>
          <w:lang w:eastAsia="zh-CN"/>
        </w:rPr>
        <w:t>μ</w:t>
      </w:r>
      <w:r>
        <w:rPr>
          <w:rFonts w:hint="eastAsia" w:ascii="Times New Roman" w:hAnsi="Times New Roman" w:eastAsia="宋体"/>
          <w:color w:val="auto"/>
          <w:highlight w:val="none"/>
          <w:lang w:eastAsia="zh-CN"/>
        </w:rPr>
        <w:t>g/m</w:t>
      </w:r>
      <w:r>
        <w:rPr>
          <w:rFonts w:hint="eastAsia" w:ascii="Times New Roman" w:hAnsi="Times New Roman" w:eastAsia="宋体"/>
          <w:color w:val="auto"/>
          <w:highlight w:val="none"/>
          <w:vertAlign w:val="superscript"/>
          <w:lang w:eastAsia="zh-CN"/>
        </w:rPr>
        <w:t>3</w:t>
      </w:r>
      <w:r>
        <w:rPr>
          <w:rFonts w:hint="eastAsia" w:ascii="Times New Roman" w:hAnsi="Times New Roman" w:eastAsia="宋体"/>
          <w:color w:val="auto"/>
          <w:highlight w:val="none"/>
          <w:lang w:eastAsia="zh-CN"/>
        </w:rPr>
        <w:t>”，最大浓度占标率为</w:t>
      </w:r>
      <w:r>
        <w:rPr>
          <w:rFonts w:hint="eastAsia" w:eastAsia="宋体"/>
          <w:color w:val="auto"/>
          <w:highlight w:val="none"/>
          <w:lang w:val="en-US" w:eastAsia="zh-CN"/>
        </w:rPr>
        <w:t>32.3</w:t>
      </w:r>
      <w:r>
        <w:rPr>
          <w:rFonts w:hint="eastAsia" w:ascii="Times New Roman" w:hAnsi="Times New Roman" w:eastAsia="宋体"/>
          <w:color w:val="auto"/>
          <w:highlight w:val="none"/>
          <w:lang w:eastAsia="zh-CN"/>
        </w:rPr>
        <w:t>%，监测点TSP</w:t>
      </w:r>
      <w:r>
        <w:rPr>
          <w:rFonts w:hint="eastAsia" w:ascii="Times New Roman" w:hAnsi="Times New Roman" w:eastAsia="宋体"/>
          <w:color w:val="auto"/>
          <w:highlight w:val="none"/>
          <w:lang w:val="en-US" w:eastAsia="zh-CN"/>
        </w:rPr>
        <w:t>24小时</w:t>
      </w:r>
      <w:r>
        <w:rPr>
          <w:rFonts w:hint="eastAsia" w:ascii="Times New Roman" w:hAnsi="Times New Roman" w:eastAsia="宋体"/>
          <w:color w:val="auto"/>
          <w:highlight w:val="none"/>
          <w:lang w:eastAsia="zh-CN"/>
        </w:rPr>
        <w:t>平均浓度监测值不超标。</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rPr>
        <w:t>监测评价结果表明，评价区内</w:t>
      </w:r>
      <w:r>
        <w:rPr>
          <w:rFonts w:hint="eastAsia" w:ascii="Times New Roman" w:hAnsi="Times New Roman" w:eastAsia="宋体" w:cstheme="minorBidi"/>
          <w:color w:val="auto"/>
          <w:highlight w:val="none"/>
          <w:lang w:eastAsia="zh-CN"/>
        </w:rPr>
        <w:t>TSP</w:t>
      </w:r>
      <w:r>
        <w:rPr>
          <w:rFonts w:hint="eastAsia" w:ascii="Times New Roman" w:hAnsi="Times New Roman" w:eastAsia="宋体"/>
          <w:color w:val="auto"/>
          <w:highlight w:val="none"/>
          <w:lang w:val="en-US" w:eastAsia="zh-CN"/>
        </w:rPr>
        <w:t>24小时</w:t>
      </w:r>
      <w:r>
        <w:rPr>
          <w:rFonts w:hint="eastAsia" w:ascii="Times New Roman" w:hAnsi="Times New Roman" w:eastAsia="宋体"/>
          <w:color w:val="auto"/>
          <w:highlight w:val="none"/>
          <w:lang w:eastAsia="zh-CN"/>
        </w:rPr>
        <w:t>平均</w:t>
      </w:r>
      <w:r>
        <w:rPr>
          <w:rFonts w:hint="eastAsia" w:ascii="Times New Roman" w:hAnsi="Times New Roman" w:eastAsia="宋体" w:cstheme="minorBidi"/>
          <w:color w:val="auto"/>
          <w:highlight w:val="none"/>
          <w:lang w:eastAsia="zh-CN"/>
        </w:rPr>
        <w:t>浓度能够达到《环境空气质量标准》（GB3095-2012）二级标准要求。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58" w:name="_Toc10930"/>
      <w:r>
        <w:rPr>
          <w:rFonts w:hint="eastAsia" w:ascii="Times New Roman" w:hAnsi="Times New Roman" w:eastAsia="宋体"/>
          <w:b/>
          <w:bCs w:val="0"/>
          <w:color w:val="auto"/>
          <w:sz w:val="30"/>
          <w:szCs w:val="30"/>
          <w:highlight w:val="none"/>
        </w:rPr>
        <w:t>4.</w:t>
      </w:r>
      <w:r>
        <w:rPr>
          <w:rFonts w:hint="eastAsia" w:ascii="Times New Roman" w:hAnsi="Times New Roman" w:eastAsia="宋体"/>
          <w:b/>
          <w:bCs w:val="0"/>
          <w:color w:val="auto"/>
          <w:sz w:val="30"/>
          <w:szCs w:val="30"/>
          <w:highlight w:val="none"/>
          <w:lang w:val="en-US" w:eastAsia="zh-CN"/>
        </w:rPr>
        <w:t>2</w:t>
      </w:r>
      <w:r>
        <w:rPr>
          <w:rFonts w:hint="eastAsia" w:ascii="Times New Roman" w:hAnsi="Times New Roman" w:eastAsia="宋体"/>
          <w:b/>
          <w:bCs w:val="0"/>
          <w:color w:val="auto"/>
          <w:sz w:val="30"/>
          <w:szCs w:val="30"/>
          <w:highlight w:val="none"/>
        </w:rPr>
        <w:t xml:space="preserve">.2 </w:t>
      </w:r>
      <w:r>
        <w:rPr>
          <w:rFonts w:hint="eastAsia" w:ascii="Times New Roman" w:hAnsi="Times New Roman" w:eastAsia="宋体"/>
          <w:b/>
          <w:bCs w:val="0"/>
          <w:color w:val="auto"/>
          <w:sz w:val="30"/>
          <w:szCs w:val="30"/>
          <w:highlight w:val="none"/>
          <w:lang w:val="en-US" w:eastAsia="zh-CN"/>
        </w:rPr>
        <w:t xml:space="preserve"> </w:t>
      </w:r>
      <w:r>
        <w:rPr>
          <w:rFonts w:hint="eastAsia" w:ascii="Times New Roman" w:hAnsi="Times New Roman" w:eastAsia="宋体"/>
          <w:b/>
          <w:bCs w:val="0"/>
          <w:color w:val="auto"/>
          <w:sz w:val="30"/>
          <w:szCs w:val="30"/>
          <w:highlight w:val="none"/>
        </w:rPr>
        <w:t>声环境质量现状评价</w:t>
      </w:r>
      <w:bookmarkEnd w:id="158"/>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了解项目拟建地噪声环境质量现状，根据该项目拟建地的目前状况，本次环评在项目场区四周各设一个监测点进行监测。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监测单位：</w:t>
      </w:r>
      <w:r>
        <w:rPr>
          <w:rFonts w:hint="eastAsia" w:ascii="Times New Roman" w:hAnsi="Times New Roman" w:eastAsia="宋体"/>
          <w:color w:val="auto"/>
          <w:highlight w:val="none"/>
          <w:lang w:val="en-US" w:eastAsia="zh-CN"/>
        </w:rPr>
        <w:t>锡林郭勒盟永创环保科技有限公司</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监测时间：20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eastAsia" w:ascii="Times New Roman" w:hAnsi="Times New Roman" w:eastAsia="宋体"/>
          <w:color w:val="auto"/>
          <w:highlight w:val="none"/>
        </w:rPr>
        <w:t>年</w:t>
      </w:r>
      <w:r>
        <w:rPr>
          <w:rFonts w:hint="eastAsia" w:eastAsia="宋体"/>
          <w:color w:val="auto"/>
          <w:highlight w:val="none"/>
          <w:lang w:val="en-US" w:eastAsia="zh-CN"/>
        </w:rPr>
        <w:t>3</w:t>
      </w:r>
      <w:r>
        <w:rPr>
          <w:rFonts w:hint="eastAsia" w:ascii="Times New Roman" w:hAnsi="Times New Roman" w:eastAsia="宋体"/>
          <w:color w:val="auto"/>
          <w:highlight w:val="none"/>
        </w:rPr>
        <w:t>月</w:t>
      </w:r>
      <w:r>
        <w:rPr>
          <w:rFonts w:hint="eastAsia" w:eastAsia="宋体"/>
          <w:color w:val="auto"/>
          <w:highlight w:val="none"/>
          <w:lang w:val="en-US" w:eastAsia="zh-CN"/>
        </w:rPr>
        <w:t>3</w:t>
      </w: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4</w:t>
      </w:r>
      <w:r>
        <w:rPr>
          <w:rFonts w:hint="eastAsia" w:ascii="Times New Roman" w:hAnsi="Times New Roman" w:eastAsia="宋体"/>
          <w:color w:val="auto"/>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监测频次：昼间、夜间各1次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监测方法：按照《声环境质量标准》（GB3096-2008）</w:t>
      </w:r>
      <w:r>
        <w:rPr>
          <w:rFonts w:hint="eastAsia" w:ascii="Times New Roman" w:hAnsi="Times New Roman" w:eastAsia="宋体"/>
          <w:color w:val="auto"/>
          <w:highlight w:val="none"/>
          <w:lang w:val="en-US" w:eastAsia="zh-CN"/>
        </w:rPr>
        <w:t>和《工业企业厂界环境噪声排放标准》（GB12348-2008）</w:t>
      </w:r>
      <w:r>
        <w:rPr>
          <w:rFonts w:hint="eastAsia" w:ascii="Times New Roman" w:hAnsi="Times New Roman" w:eastAsia="宋体"/>
          <w:color w:val="auto"/>
          <w:highlight w:val="none"/>
        </w:rPr>
        <w:t>的有关规定进行。监测结果统计见表4.</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w:t>
      </w:r>
      <w:r>
        <w:rPr>
          <w:rFonts w:hint="eastAsia" w:eastAsia="宋体"/>
          <w:color w:val="auto"/>
          <w:highlight w:val="none"/>
          <w:lang w:val="en-US" w:eastAsia="zh-CN"/>
        </w:rPr>
        <w:t>5</w:t>
      </w:r>
      <w:r>
        <w:rPr>
          <w:rFonts w:hint="eastAsia" w:ascii="Times New Roman" w:hAnsi="Times New Roman" w:eastAsia="宋体"/>
          <w:color w:val="auto"/>
          <w:highlight w:val="none"/>
        </w:rPr>
        <w:t>。监测点位分布情况详见</w:t>
      </w:r>
      <w:r>
        <w:rPr>
          <w:rFonts w:hint="eastAsia" w:eastAsia="宋体"/>
          <w:color w:val="auto"/>
          <w:highlight w:val="none"/>
          <w:lang w:val="en-US" w:eastAsia="zh-CN"/>
        </w:rPr>
        <w:t>附</w:t>
      </w:r>
      <w:r>
        <w:rPr>
          <w:rFonts w:hint="eastAsia" w:ascii="Times New Roman" w:hAnsi="Times New Roman" w:eastAsia="宋体"/>
          <w:color w:val="auto"/>
          <w:highlight w:val="none"/>
        </w:rPr>
        <w:t>图</w:t>
      </w:r>
      <w:r>
        <w:rPr>
          <w:rFonts w:hint="eastAsia" w:eastAsia="宋体"/>
          <w:color w:val="auto"/>
          <w:highlight w:val="none"/>
          <w:lang w:val="en-US" w:eastAsia="zh-CN"/>
        </w:rPr>
        <w:t>8</w:t>
      </w:r>
      <w:r>
        <w:rPr>
          <w:rFonts w:hint="eastAsia" w:ascii="Times New Roman" w:hAnsi="Times New Roman" w:eastAsia="宋体"/>
          <w:color w:val="auto"/>
          <w:highlight w:val="none"/>
        </w:rPr>
        <w:t>。</w:t>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color w:val="auto"/>
          <w:highlight w:val="none"/>
        </w:rPr>
      </w:pPr>
      <w:r>
        <w:rPr>
          <w:rFonts w:hint="eastAsia" w:ascii="Times New Roman" w:hAnsi="Times New Roman" w:eastAsia="宋体"/>
          <w:b/>
          <w:color w:val="auto"/>
          <w:highlight w:val="none"/>
        </w:rPr>
        <w:t>表4.</w:t>
      </w:r>
      <w:r>
        <w:rPr>
          <w:rFonts w:hint="eastAsia" w:ascii="Times New Roman" w:hAnsi="Times New Roman" w:eastAsia="宋体"/>
          <w:b/>
          <w:color w:val="auto"/>
          <w:highlight w:val="none"/>
          <w:lang w:val="en-US" w:eastAsia="zh-CN"/>
        </w:rPr>
        <w:t>2</w:t>
      </w:r>
      <w:r>
        <w:rPr>
          <w:rFonts w:hint="eastAsia" w:ascii="Times New Roman" w:hAnsi="Times New Roman" w:eastAsia="宋体"/>
          <w:b/>
          <w:color w:val="auto"/>
          <w:highlight w:val="none"/>
        </w:rPr>
        <w:t>-</w:t>
      </w:r>
      <w:r>
        <w:rPr>
          <w:rFonts w:hint="eastAsia" w:eastAsia="宋体"/>
          <w:b/>
          <w:color w:val="auto"/>
          <w:highlight w:val="none"/>
          <w:lang w:val="en-US" w:eastAsia="zh-CN"/>
        </w:rPr>
        <w:t>5</w:t>
      </w:r>
      <w:r>
        <w:rPr>
          <w:rFonts w:hint="eastAsia" w:ascii="Times New Roman" w:hAnsi="Times New Roman" w:eastAsia="宋体"/>
          <w:b/>
          <w:color w:val="auto"/>
          <w:highlight w:val="none"/>
        </w:rPr>
        <w:t xml:space="preserve">  环境噪声现状监测结果统计表（单位：dB（A））</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2"/>
        <w:gridCol w:w="1435"/>
        <w:gridCol w:w="1285"/>
        <w:gridCol w:w="27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tblHeader/>
          <w:jc w:val="center"/>
        </w:trPr>
        <w:tc>
          <w:tcPr>
            <w:tcW w:w="1540"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监测点位</w:t>
            </w:r>
          </w:p>
        </w:tc>
        <w:tc>
          <w:tcPr>
            <w:tcW w:w="1542"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时间</w:t>
            </w:r>
          </w:p>
        </w:tc>
        <w:tc>
          <w:tcPr>
            <w:tcW w:w="2720" w:type="dxa"/>
            <w:gridSpan w:val="2"/>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检测结果L</w:t>
            </w:r>
            <w:r>
              <w:rPr>
                <w:rFonts w:ascii="Times New Roman" w:hAnsi="Times New Roman" w:eastAsia="宋体"/>
                <w:color w:val="auto"/>
                <w:highlight w:val="none"/>
                <w:vertAlign w:val="subscript"/>
              </w:rPr>
              <w:t>Aeq</w:t>
            </w:r>
            <w:r>
              <w:rPr>
                <w:rFonts w:ascii="Times New Roman" w:hAnsi="Times New Roman" w:eastAsia="宋体"/>
                <w:color w:val="auto"/>
                <w:highlight w:val="none"/>
              </w:rPr>
              <w:t>（dB</w:t>
            </w:r>
            <w:r>
              <w:rPr>
                <w:rFonts w:hint="eastAsia" w:ascii="Times New Roman" w:hAnsi="Times New Roman" w:eastAsia="宋体"/>
                <w:color w:val="auto"/>
                <w:highlight w:val="none"/>
              </w:rPr>
              <w:t>（A</w:t>
            </w:r>
            <w:r>
              <w:rPr>
                <w:rFonts w:ascii="Times New Roman" w:hAnsi="Times New Roman" w:eastAsia="宋体"/>
                <w:color w:val="auto"/>
                <w:highlight w:val="none"/>
              </w:rPr>
              <w:t>）</w:t>
            </w:r>
            <w:r>
              <w:rPr>
                <w:rFonts w:hint="eastAsia" w:ascii="Times New Roman" w:hAnsi="Times New Roman" w:eastAsia="宋体"/>
                <w:color w:val="auto"/>
                <w:highlight w:val="none"/>
              </w:rPr>
              <w:t>）</w:t>
            </w:r>
          </w:p>
        </w:tc>
        <w:tc>
          <w:tcPr>
            <w:tcW w:w="2720"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《声环境质量标准》（GB3096-2008）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blHeader/>
          <w:jc w:val="center"/>
        </w:trPr>
        <w:tc>
          <w:tcPr>
            <w:tcW w:w="1540" w:type="dxa"/>
            <w:vMerge w:val="continue"/>
            <w:tcBorders>
              <w:tl2br w:val="nil"/>
              <w:tr2bl w:val="nil"/>
            </w:tcBorders>
            <w:vAlign w:val="center"/>
          </w:tcPr>
          <w:p>
            <w:pPr>
              <w:pStyle w:val="52"/>
              <w:rPr>
                <w:rFonts w:ascii="Times New Roman" w:hAnsi="Times New Roman" w:eastAsia="宋体"/>
                <w:color w:val="auto"/>
                <w:highlight w:val="none"/>
              </w:rPr>
            </w:pP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昼间</w:t>
            </w:r>
          </w:p>
        </w:tc>
        <w:tc>
          <w:tcPr>
            <w:tcW w:w="1285"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夜间</w:t>
            </w:r>
          </w:p>
        </w:tc>
        <w:tc>
          <w:tcPr>
            <w:tcW w:w="2720"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540"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厂界东</w:t>
            </w:r>
            <w:r>
              <w:rPr>
                <w:rFonts w:hint="eastAsia" w:ascii="Times New Roman" w:hAnsi="Times New Roman"/>
                <w:color w:val="auto"/>
                <w:highlight w:val="none"/>
                <w:lang w:val="en-US" w:eastAsia="zh-CN"/>
              </w:rPr>
              <w:t>外1m</w:t>
            </w:r>
          </w:p>
        </w:tc>
        <w:tc>
          <w:tcPr>
            <w:tcW w:w="1542"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w:t>
            </w:r>
            <w:r>
              <w:rPr>
                <w:rFonts w:hint="eastAsia" w:ascii="Times New Roman" w:hAnsi="Times New Roman"/>
                <w:color w:val="auto"/>
                <w:highlight w:val="none"/>
                <w:lang w:val="en-US" w:eastAsia="zh-CN"/>
              </w:rPr>
              <w:t>2</w:t>
            </w:r>
            <w:r>
              <w:rPr>
                <w:rFonts w:hint="eastAsia"/>
                <w:color w:val="auto"/>
                <w:highlight w:val="none"/>
                <w:lang w:val="en-US" w:eastAsia="zh-CN"/>
              </w:rPr>
              <w:t>1</w:t>
            </w:r>
            <w:r>
              <w:rPr>
                <w:rFonts w:hint="eastAsia" w:ascii="Times New Roman" w:hAnsi="Times New Roman" w:eastAsia="宋体"/>
                <w:color w:val="auto"/>
                <w:highlight w:val="none"/>
              </w:rPr>
              <w:t>年</w:t>
            </w:r>
            <w:r>
              <w:rPr>
                <w:rFonts w:hint="eastAsia"/>
                <w:color w:val="auto"/>
                <w:highlight w:val="none"/>
                <w:lang w:val="en-US" w:eastAsia="zh-CN"/>
              </w:rPr>
              <w:t>3</w:t>
            </w:r>
            <w:r>
              <w:rPr>
                <w:rFonts w:hint="eastAsia" w:ascii="Times New Roman" w:hAnsi="Times New Roman" w:eastAsia="宋体"/>
                <w:color w:val="auto"/>
                <w:highlight w:val="none"/>
              </w:rPr>
              <w:t>月</w:t>
            </w:r>
            <w:r>
              <w:rPr>
                <w:rFonts w:hint="eastAsia"/>
                <w:color w:val="auto"/>
                <w:highlight w:val="none"/>
                <w:lang w:val="en-US" w:eastAsia="zh-CN"/>
              </w:rPr>
              <w:t>3</w:t>
            </w:r>
            <w:r>
              <w:rPr>
                <w:rFonts w:hint="eastAsia" w:ascii="Times New Roman" w:hAnsi="Times New Roman" w:eastAsia="宋体"/>
                <w:color w:val="auto"/>
                <w:highlight w:val="none"/>
              </w:rPr>
              <w:t>日</w:t>
            </w: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44.0</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40.9</w:t>
            </w:r>
          </w:p>
        </w:tc>
        <w:tc>
          <w:tcPr>
            <w:tcW w:w="2720"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《声环境质量标准》（GB3096-2008）</w:t>
            </w:r>
            <w:r>
              <w:rPr>
                <w:rFonts w:hint="eastAsia" w:ascii="Times New Roman" w:hAnsi="Times New Roman"/>
                <w:color w:val="auto"/>
                <w:highlight w:val="none"/>
                <w:lang w:val="en-US" w:eastAsia="zh-CN"/>
              </w:rPr>
              <w:t>2</w:t>
            </w:r>
            <w:r>
              <w:rPr>
                <w:rFonts w:hint="eastAsia" w:ascii="Times New Roman" w:hAnsi="Times New Roman" w:eastAsia="宋体"/>
                <w:color w:val="auto"/>
                <w:highlight w:val="none"/>
              </w:rPr>
              <w:t>类：</w:t>
            </w:r>
          </w:p>
          <w:p>
            <w:pPr>
              <w:pStyle w:val="52"/>
              <w:rPr>
                <w:rFonts w:ascii="Times New Roman" w:hAnsi="Times New Roman" w:eastAsia="宋体"/>
                <w:color w:val="auto"/>
                <w:highlight w:val="none"/>
              </w:rPr>
            </w:pPr>
            <w:r>
              <w:rPr>
                <w:rFonts w:hint="eastAsia" w:ascii="Times New Roman" w:hAnsi="Times New Roman" w:eastAsia="宋体"/>
                <w:color w:val="auto"/>
                <w:highlight w:val="none"/>
              </w:rPr>
              <w:t>昼间</w:t>
            </w:r>
            <w:r>
              <w:rPr>
                <w:rFonts w:ascii="Times New Roman" w:hAnsi="Times New Roman" w:eastAsia="宋体"/>
                <w:color w:val="auto"/>
                <w:highlight w:val="none"/>
              </w:rPr>
              <w:t>6</w:t>
            </w:r>
            <w:r>
              <w:rPr>
                <w:rFonts w:hint="eastAsia" w:ascii="Times New Roman" w:hAnsi="Times New Roman"/>
                <w:color w:val="auto"/>
                <w:highlight w:val="none"/>
                <w:lang w:val="en-US" w:eastAsia="zh-CN"/>
              </w:rPr>
              <w:t>0</w:t>
            </w:r>
            <w:r>
              <w:rPr>
                <w:rFonts w:ascii="Times New Roman" w:hAnsi="Times New Roman" w:eastAsia="宋体"/>
                <w:color w:val="auto"/>
                <w:highlight w:val="none"/>
              </w:rPr>
              <w:t xml:space="preserve"> dB(A)</w:t>
            </w:r>
          </w:p>
          <w:p>
            <w:pPr>
              <w:pStyle w:val="52"/>
              <w:rPr>
                <w:rFonts w:ascii="Times New Roman" w:hAnsi="Times New Roman" w:eastAsia="宋体"/>
                <w:color w:val="auto"/>
                <w:kern w:val="0"/>
                <w:highlight w:val="none"/>
              </w:rPr>
            </w:pPr>
            <w:r>
              <w:rPr>
                <w:rFonts w:hint="eastAsia" w:ascii="Times New Roman" w:hAnsi="Times New Roman" w:eastAsia="宋体"/>
                <w:color w:val="auto"/>
                <w:highlight w:val="none"/>
              </w:rPr>
              <w:t>夜间</w:t>
            </w:r>
            <w:r>
              <w:rPr>
                <w:rFonts w:ascii="Times New Roman" w:hAnsi="Times New Roman" w:eastAsia="宋体"/>
                <w:color w:val="auto"/>
                <w:highlight w:val="none"/>
              </w:rPr>
              <w:t>5</w:t>
            </w:r>
            <w:r>
              <w:rPr>
                <w:rFonts w:hint="eastAsia" w:ascii="Times New Roman" w:hAnsi="Times New Roman"/>
                <w:color w:val="auto"/>
                <w:highlight w:val="none"/>
                <w:lang w:val="en-US" w:eastAsia="zh-CN"/>
              </w:rPr>
              <w:t>0</w:t>
            </w:r>
            <w:r>
              <w:rPr>
                <w:rFonts w:ascii="Times New Roman" w:hAnsi="Times New Roman" w:eastAsia="宋体"/>
                <w:color w:val="auto"/>
                <w:highlight w:val="none"/>
              </w:rPr>
              <w:t>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540"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厂界南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43.2</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38.2</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1540"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厂界西</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46.9</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36.2</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厂界北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47.4</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40.5</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厂界东</w:t>
            </w:r>
            <w:r>
              <w:rPr>
                <w:rFonts w:hint="eastAsia" w:ascii="Times New Roman" w:hAnsi="Times New Roman"/>
                <w:color w:val="auto"/>
                <w:highlight w:val="none"/>
                <w:lang w:val="en-US" w:eastAsia="zh-CN"/>
              </w:rPr>
              <w:t>外1m</w:t>
            </w:r>
          </w:p>
        </w:tc>
        <w:tc>
          <w:tcPr>
            <w:tcW w:w="1542"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w:t>
            </w:r>
            <w:r>
              <w:rPr>
                <w:rFonts w:hint="eastAsia" w:ascii="Times New Roman" w:hAnsi="Times New Roman"/>
                <w:color w:val="auto"/>
                <w:highlight w:val="none"/>
                <w:lang w:val="en-US" w:eastAsia="zh-CN"/>
              </w:rPr>
              <w:t>2</w:t>
            </w:r>
            <w:r>
              <w:rPr>
                <w:rFonts w:hint="eastAsia"/>
                <w:color w:val="auto"/>
                <w:highlight w:val="none"/>
                <w:lang w:val="en-US" w:eastAsia="zh-CN"/>
              </w:rPr>
              <w:t>1</w:t>
            </w:r>
            <w:r>
              <w:rPr>
                <w:rFonts w:hint="eastAsia" w:ascii="Times New Roman" w:hAnsi="Times New Roman" w:eastAsia="宋体"/>
                <w:color w:val="auto"/>
                <w:highlight w:val="none"/>
              </w:rPr>
              <w:t>年</w:t>
            </w:r>
            <w:r>
              <w:rPr>
                <w:rFonts w:hint="eastAsia"/>
                <w:color w:val="auto"/>
                <w:highlight w:val="none"/>
                <w:lang w:val="en-US" w:eastAsia="zh-CN"/>
              </w:rPr>
              <w:t>3</w:t>
            </w:r>
            <w:r>
              <w:rPr>
                <w:rFonts w:hint="eastAsia" w:ascii="Times New Roman" w:hAnsi="Times New Roman" w:eastAsia="宋体"/>
                <w:color w:val="auto"/>
                <w:highlight w:val="none"/>
              </w:rPr>
              <w:t>月</w:t>
            </w:r>
            <w:r>
              <w:rPr>
                <w:rFonts w:hint="eastAsia"/>
                <w:color w:val="auto"/>
                <w:highlight w:val="none"/>
                <w:lang w:val="en-US" w:eastAsia="zh-CN"/>
              </w:rPr>
              <w:t>4</w:t>
            </w:r>
            <w:r>
              <w:rPr>
                <w:rFonts w:hint="eastAsia" w:ascii="Times New Roman" w:hAnsi="Times New Roman" w:eastAsia="宋体"/>
                <w:color w:val="auto"/>
                <w:highlight w:val="none"/>
              </w:rPr>
              <w:t>日</w:t>
            </w: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42.7</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38.1</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45.2</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38.8</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厂界西</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47.4</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39.0</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45.0</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37.3</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从监测结果来看，本项目场地四周声环境质量现状分别满足《声环境质量标准》（GB 3096-2008）</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类声环境功能区环境噪声限值标准。说明项目所在区域声环境质量良好。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eastAsia="zh-CN"/>
        </w:rPr>
      </w:pPr>
      <w:bookmarkStart w:id="159" w:name="_Toc24789"/>
      <w:r>
        <w:rPr>
          <w:rFonts w:hint="eastAsia" w:ascii="Times New Roman" w:hAnsi="Times New Roman" w:eastAsia="宋体"/>
          <w:b/>
          <w:bCs w:val="0"/>
          <w:color w:val="auto"/>
          <w:sz w:val="30"/>
          <w:szCs w:val="30"/>
          <w:highlight w:val="none"/>
          <w:lang w:val="en-US" w:eastAsia="zh-CN"/>
        </w:rPr>
        <w:t>4.2.3 土壤环境质量现状评价</w:t>
      </w:r>
      <w:bookmarkEnd w:id="159"/>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（1）监测点布置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共设置</w:t>
      </w:r>
      <w:r>
        <w:rPr>
          <w:rFonts w:hint="eastAsia" w:eastAsia="宋体"/>
          <w:color w:val="auto"/>
          <w:highlight w:val="none"/>
          <w:lang w:val="en-US" w:eastAsia="zh-CN"/>
        </w:rPr>
        <w:t>3</w:t>
      </w:r>
      <w:r>
        <w:rPr>
          <w:rFonts w:hint="eastAsia" w:ascii="Times New Roman" w:hAnsi="Times New Roman" w:eastAsia="宋体"/>
          <w:color w:val="auto"/>
          <w:highlight w:val="none"/>
        </w:rPr>
        <w:t>个监测点。监测点布置见下表：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eastAsia="宋体"/>
          <w:b/>
          <w:bCs/>
          <w:color w:val="auto"/>
          <w:highlight w:val="none"/>
          <w:lang w:val="en-US" w:eastAsia="zh-CN"/>
        </w:rPr>
        <w:t>6</w:t>
      </w:r>
      <w:r>
        <w:rPr>
          <w:rFonts w:hint="eastAsia" w:ascii="Times New Roman" w:hAnsi="Times New Roman" w:eastAsia="宋体"/>
          <w:b/>
          <w:bCs/>
          <w:color w:val="auto"/>
          <w:highlight w:val="none"/>
        </w:rPr>
        <w:t xml:space="preserve">  土壤环境质量现状监测点布设一览表</w:t>
      </w:r>
    </w:p>
    <w:tbl>
      <w:tblPr>
        <w:tblStyle w:val="35"/>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5"/>
        <w:gridCol w:w="1126"/>
        <w:gridCol w:w="1387"/>
        <w:gridCol w:w="1969"/>
        <w:gridCol w:w="1969"/>
        <w:gridCol w:w="14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12"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126"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类型</w:t>
            </w:r>
          </w:p>
        </w:tc>
        <w:tc>
          <w:tcPr>
            <w:tcW w:w="1387"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监测点位</w:t>
            </w:r>
          </w:p>
        </w:tc>
        <w:tc>
          <w:tcPr>
            <w:tcW w:w="1969"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坐标</w:t>
            </w:r>
          </w:p>
        </w:tc>
        <w:tc>
          <w:tcPr>
            <w:tcW w:w="1969"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监测取样层位</w:t>
            </w:r>
          </w:p>
        </w:tc>
        <w:tc>
          <w:tcPr>
            <w:tcW w:w="1412" w:type="dxa"/>
            <w:tcBorders>
              <w:top w:val="single" w:color="000000" w:sz="12"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1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项目占地范围内</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1</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N：42.471456°</w:t>
            </w:r>
          </w:p>
          <w:p>
            <w:pPr>
              <w:pStyle w:val="34"/>
              <w:ind w:left="0" w:leftChars="0" w:firstLine="0" w:firstLineChars="0"/>
              <w:jc w:val="center"/>
              <w:rPr>
                <w:rFonts w:hint="default"/>
                <w:highlight w:val="none"/>
                <w:lang w:val="en-US" w:eastAsia="zh-CN"/>
              </w:rPr>
            </w:pPr>
            <w:r>
              <w:rPr>
                <w:rFonts w:hint="eastAsia" w:eastAsia="宋体"/>
                <w:color w:val="auto"/>
                <w:sz w:val="21"/>
                <w:szCs w:val="21"/>
                <w:highlight w:val="none"/>
                <w:lang w:val="en-US" w:eastAsia="zh-CN"/>
              </w:rPr>
              <w:t>E：112.863167</w:t>
            </w:r>
            <w:r>
              <w:rPr>
                <w:rFonts w:hint="eastAsia"/>
                <w:sz w:val="21"/>
                <w:szCs w:val="21"/>
                <w:highlight w:val="none"/>
                <w:lang w:val="en-US"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0-0.5m；共</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个取样层位</w:t>
            </w:r>
          </w:p>
        </w:tc>
        <w:tc>
          <w:tcPr>
            <w:tcW w:w="141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表层样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2</w:t>
            </w:r>
          </w:p>
        </w:tc>
        <w:tc>
          <w:tcPr>
            <w:tcW w:w="1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项目占地范围内</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东</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2</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N：42.471182°</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E：112.866669</w:t>
            </w:r>
            <w:r>
              <w:rPr>
                <w:rFonts w:hint="eastAsia"/>
                <w:sz w:val="21"/>
                <w:szCs w:val="21"/>
                <w:highlight w:val="none"/>
                <w:lang w:val="en-US"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0-0.5m；共</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个取样层位</w:t>
            </w:r>
          </w:p>
        </w:tc>
        <w:tc>
          <w:tcPr>
            <w:tcW w:w="141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表层样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3</w:t>
            </w:r>
          </w:p>
        </w:tc>
        <w:tc>
          <w:tcPr>
            <w:tcW w:w="1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项目占地范围内</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3</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N：42.420465°</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E：112.861459</w:t>
            </w:r>
            <w:r>
              <w:rPr>
                <w:rFonts w:hint="eastAsia"/>
                <w:sz w:val="21"/>
                <w:szCs w:val="21"/>
                <w:highlight w:val="none"/>
                <w:lang w:val="en-US"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0-0.5m；共</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个取样层位</w:t>
            </w:r>
          </w:p>
        </w:tc>
        <w:tc>
          <w:tcPr>
            <w:tcW w:w="141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表层样</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监测项目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采场北</w:t>
      </w:r>
      <w:r>
        <w:rPr>
          <w:rFonts w:hint="eastAsia" w:ascii="Times New Roman" w:hAnsi="Times New Roman" w:eastAsia="宋体"/>
          <w:color w:val="auto"/>
          <w:highlight w:val="none"/>
        </w:rPr>
        <w:t>部T</w:t>
      </w:r>
      <w:r>
        <w:rPr>
          <w:rFonts w:hint="eastAsia" w:ascii="Times New Roman" w:hAnsi="Times New Roman" w:eastAsia="宋体"/>
          <w:color w:val="auto"/>
          <w:highlight w:val="none"/>
          <w:lang w:val="en-US" w:eastAsia="zh-CN"/>
        </w:rPr>
        <w:t>R1</w:t>
      </w:r>
      <w:r>
        <w:rPr>
          <w:rFonts w:hint="eastAsia" w:eastAsia="宋体"/>
          <w:color w:val="auto"/>
          <w:highlight w:val="none"/>
          <w:lang w:val="en-US" w:eastAsia="zh-CN"/>
        </w:rPr>
        <w:t>：</w:t>
      </w:r>
      <w:r>
        <w:rPr>
          <w:rFonts w:hint="eastAsia" w:ascii="Times New Roman" w:hAnsi="Times New Roman" w:eastAsia="宋体"/>
          <w:color w:val="auto"/>
          <w:highlight w:val="none"/>
        </w:rPr>
        <w:t>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镉</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铬（六价）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铜</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铅</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汞</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镍</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四氯化碳</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氯仿</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氯甲烷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1,1-二氯乙烷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1,2-二氯乙烷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1,1-二氯乙烯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顺-1,2-二氯乙烯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反-1,2-二氯乙烯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二氯甲烷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1,2-二氯丙烷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1,1,1,2-四氯乙烷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1,1,2,2-四氯乙烷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四氯乙烯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1,1,1-三氯乙烷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1,1,2-三氯乙烷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三氯乙烯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1,2,3-三氯丙烷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1,2-二氯苯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1,4-二氯苯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乙苯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甲苯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间,对二甲苯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邻二甲苯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硝基苯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苯胺</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2-氯酚</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苯并（a）蒽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苯并（a）芘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苯并（b）荧蒽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苯并（k）荧蒽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䓛</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二苯并（a，h）蒽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茚并（1，2，3-cd）芘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pH</w:t>
      </w:r>
      <w:r>
        <w:rPr>
          <w:rFonts w:hint="eastAsia" w:eastAsia="宋体"/>
          <w:color w:val="auto"/>
          <w:highlight w:val="none"/>
          <w:lang w:eastAsia="zh-CN"/>
        </w:rPr>
        <w:t>、</w:t>
      </w:r>
      <w:r>
        <w:rPr>
          <w:rFonts w:hint="eastAsia" w:eastAsia="宋体"/>
          <w:color w:val="FF0000"/>
          <w:highlight w:val="none"/>
          <w:lang w:val="en-US" w:eastAsia="zh-CN"/>
        </w:rPr>
        <w:t>石油类</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采场东</w:t>
      </w:r>
      <w:r>
        <w:rPr>
          <w:rFonts w:hint="eastAsia" w:ascii="Times New Roman" w:hAnsi="Times New Roman" w:eastAsia="宋体"/>
          <w:color w:val="auto"/>
          <w:highlight w:val="none"/>
        </w:rPr>
        <w:t>部T</w:t>
      </w:r>
      <w:r>
        <w:rPr>
          <w:rFonts w:hint="eastAsia" w:ascii="Times New Roman" w:hAnsi="Times New Roman" w:eastAsia="宋体"/>
          <w:color w:val="auto"/>
          <w:highlight w:val="none"/>
          <w:lang w:val="en-US" w:eastAsia="zh-CN"/>
        </w:rPr>
        <w:t>R2</w:t>
      </w:r>
      <w:r>
        <w:rPr>
          <w:rFonts w:hint="eastAsia" w:eastAsia="宋体"/>
          <w:color w:val="auto"/>
          <w:highlight w:val="none"/>
          <w:lang w:val="en-US" w:eastAsia="zh-CN"/>
        </w:rPr>
        <w:t>和采场南部TR3：</w:t>
      </w:r>
      <w:r>
        <w:rPr>
          <w:rFonts w:hint="eastAsia" w:ascii="Times New Roman" w:hAnsi="Times New Roman" w:eastAsia="宋体"/>
          <w:color w:val="auto"/>
          <w:highlight w:val="none"/>
        </w:rPr>
        <w:t>pH</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镉</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铬（六价）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铜</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铅</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汞</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镍</w:t>
      </w:r>
      <w:r>
        <w:rPr>
          <w:rFonts w:hint="eastAsia" w:eastAsia="宋体"/>
          <w:color w:val="auto"/>
          <w:highlight w:val="none"/>
          <w:lang w:eastAsia="zh-CN"/>
        </w:rPr>
        <w:t>、</w:t>
      </w:r>
      <w:r>
        <w:rPr>
          <w:rFonts w:hint="eastAsia" w:eastAsia="宋体"/>
          <w:color w:val="FF0000"/>
          <w:highlight w:val="none"/>
          <w:lang w:val="en-US" w:eastAsia="zh-CN"/>
        </w:rPr>
        <w:t>石油类</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3</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现状监测取样方法</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土壤环境现状监测表层样监测点和土壤剖面的土壤检测取样方法参照《土壤环境监测技术规范》（HJ/T166）和《场地环境监测技术导则》（HJ25.2）中规定的方法。</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监测频次</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近期开展一次土壤环境现状监测。</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执行标准</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《土壤环境质量</w:t>
      </w:r>
      <w:r>
        <w:rPr>
          <w:rFonts w:hint="eastAsia" w:eastAsia="宋体" w:cs="Times New Roman"/>
          <w:sz w:val="24"/>
          <w:szCs w:val="24"/>
          <w:highlight w:val="none"/>
          <w:lang w:val="en-US" w:eastAsia="zh-CN"/>
        </w:rPr>
        <w:t xml:space="preserve">  </w:t>
      </w:r>
      <w:r>
        <w:rPr>
          <w:rFonts w:ascii="Times New Roman" w:hAnsi="Times New Roman" w:eastAsia="宋体" w:cs="Times New Roman"/>
          <w:sz w:val="24"/>
          <w:szCs w:val="24"/>
          <w:highlight w:val="none"/>
        </w:rPr>
        <w:t>建设用地土壤污染风险管控标准》（GB36600-2018）表1和表2第二类用地筛选值</w:t>
      </w:r>
      <w:r>
        <w:rPr>
          <w:rFonts w:hint="eastAsia" w:ascii="Times New Roman" w:hAnsi="Times New Roman" w:eastAsia="宋体" w:cs="Times New Roman"/>
          <w:sz w:val="24"/>
          <w:szCs w:val="24"/>
          <w:highlight w:val="none"/>
        </w:rPr>
        <w:t>要求。</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监测方法</w:t>
      </w:r>
    </w:p>
    <w:p>
      <w:pPr>
        <w:spacing w:line="480" w:lineRule="exact"/>
        <w:ind w:firstLine="482" w:firstLineChars="200"/>
        <w:jc w:val="center"/>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表</w:t>
      </w:r>
      <w:r>
        <w:rPr>
          <w:rFonts w:hint="eastAsia" w:ascii="Times New Roman" w:hAnsi="Times New Roman" w:eastAsia="宋体" w:cs="Times New Roman"/>
          <w:b/>
          <w:bCs/>
          <w:sz w:val="24"/>
          <w:szCs w:val="24"/>
          <w:highlight w:val="none"/>
          <w:lang w:val="en-US" w:eastAsia="zh-CN"/>
        </w:rPr>
        <w:t>4.2-</w:t>
      </w:r>
      <w:r>
        <w:rPr>
          <w:rFonts w:hint="eastAsia" w:eastAsia="宋体" w:cs="Times New Roman"/>
          <w:b/>
          <w:bCs/>
          <w:sz w:val="24"/>
          <w:szCs w:val="24"/>
          <w:highlight w:val="none"/>
          <w:lang w:val="en-US" w:eastAsia="zh-CN"/>
        </w:rPr>
        <w:t>7</w:t>
      </w:r>
      <w:r>
        <w:rPr>
          <w:rFonts w:hint="eastAsia" w:ascii="Times New Roman" w:hAnsi="Times New Roman" w:eastAsia="宋体" w:cs="Times New Roman"/>
          <w:b/>
          <w:bCs/>
          <w:sz w:val="24"/>
          <w:szCs w:val="24"/>
          <w:highlight w:val="none"/>
          <w:lang w:val="en-US" w:eastAsia="zh-CN"/>
        </w:rPr>
        <w:t xml:space="preserve"> </w:t>
      </w:r>
      <w:r>
        <w:rPr>
          <w:rFonts w:ascii="Times New Roman" w:hAnsi="Times New Roman" w:eastAsia="宋体" w:cs="Times New Roman"/>
          <w:b/>
          <w:bCs/>
          <w:sz w:val="24"/>
          <w:szCs w:val="24"/>
          <w:highlight w:val="none"/>
        </w:rPr>
        <w:t>土壤环境质量检测项目、分析方法及仪器</w:t>
      </w:r>
    </w:p>
    <w:tbl>
      <w:tblPr>
        <w:tblStyle w:val="35"/>
        <w:tblW w:w="5000" w:type="pct"/>
        <w:jc w:val="center"/>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352"/>
        <w:gridCol w:w="2997"/>
        <w:gridCol w:w="2179"/>
        <w:gridCol w:w="1332"/>
      </w:tblGrid>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序号</w:t>
            </w:r>
          </w:p>
        </w:tc>
        <w:tc>
          <w:tcPr>
            <w:tcW w:w="809"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检测项目</w:t>
            </w:r>
          </w:p>
        </w:tc>
        <w:tc>
          <w:tcPr>
            <w:tcW w:w="177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分析方法</w:t>
            </w:r>
          </w:p>
        </w:tc>
        <w:tc>
          <w:tcPr>
            <w:tcW w:w="129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仪器及编号</w:t>
            </w:r>
          </w:p>
        </w:tc>
        <w:tc>
          <w:tcPr>
            <w:tcW w:w="719"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检出限</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土壤质量 总汞、总砷、总铅的测定 原子荧光法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22105.2-2008 第二部分：土壤中总砷的测定</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双道原子荧光光度计</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镉</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土壤质量 铅、镉的测定 石墨炉原子吸收分光光度法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17141-1997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原子吸收分光光度计</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w:t>
            </w:r>
          </w:p>
        </w:tc>
        <w:tc>
          <w:tcPr>
            <w:tcW w:w="809"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铬（六价）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六价铬碱性碱性萃取法法PEPA</w:t>
            </w:r>
            <w:r>
              <w:rPr>
                <w:rFonts w:hint="eastAsia" w:ascii="Times New Roman" w:hAnsi="Times New Roman" w:eastAsia="宋体" w:cs="Times New Roman"/>
                <w:sz w:val="21"/>
                <w:szCs w:val="21"/>
                <w:highlight w:val="none"/>
              </w:rPr>
              <w:t>3060A：1996</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六价铬分光光度法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EPA 7196A：1992</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紫外可见分光光度计</w:t>
            </w:r>
            <w:r>
              <w:rPr>
                <w:rFonts w:ascii="Times New Roman" w:hAnsi="Times New Roman" w:eastAsia="宋体" w:cs="Times New Roman"/>
                <w:sz w:val="21"/>
                <w:szCs w:val="21"/>
                <w:highlight w:val="none"/>
              </w:rPr>
              <w:t xml:space="preserve"> </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eastAsia="宋体" w:cs="Times New Roman"/>
                <w:sz w:val="21"/>
                <w:szCs w:val="21"/>
                <w:highlight w:val="none"/>
                <w:lang w:val="en-US" w:eastAsia="zh-CN"/>
              </w:rPr>
              <w:t>0.5</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铜</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土壤质量 铜、锌的测定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火焰原子吸收分光光度法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17138-1997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原子吸收分光光度计 </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铅</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土壤质量 铅、镉的测定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石墨炉原子吸收分光光度法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17141-1997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原子吸收分光光度计</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汞</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土壤质量 总汞、总砷、</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总铅的测定 原子荧光法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22105.1-2008 第一部分：土壤中总汞的测定</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双道原子荧光光度计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0.002mg/kg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镍</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土壤质量 镍的测定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火焰原子吸收分光光度法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17139-1997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原子吸收分光光度计 </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eastAsia="宋体" w:cs="Times New Roman"/>
                <w:sz w:val="21"/>
                <w:szCs w:val="21"/>
                <w:highlight w:val="none"/>
                <w:lang w:val="en-US" w:eastAsia="zh-CN"/>
              </w:rPr>
              <w:t>3</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四氯化碳</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0.0013</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氯仿</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0.0011</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氯甲烷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eastAsia="宋体" w:cs="Times New Roman"/>
                <w:sz w:val="21"/>
                <w:szCs w:val="21"/>
                <w:highlight w:val="none"/>
                <w:lang w:val="en-US" w:eastAsia="zh-CN"/>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1.0</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顺-1,2-二氯乙烯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反-1,2-二氯乙烯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1.4</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二氯甲烷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1.5</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1</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1,1,1,2-四氯乙烷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1,1,2,2-四氯乙烷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tabs>
                <w:tab w:val="left" w:pos="465"/>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1.4</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1,1,1-三氯乙烷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3</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1,1,2-三氯乙烷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三氯乙烯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1,2,3-三氯丙烷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1.9</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1.0</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eastAsia="宋体" w:cs="Times New Roman"/>
                <w:sz w:val="21"/>
                <w:szCs w:val="21"/>
                <w:highlight w:val="none"/>
                <w:lang w:val="en-US" w:eastAsia="zh-CN"/>
              </w:rPr>
              <w:t>.5</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1,4-二氯苯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5</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乙苯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1</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甲苯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间,对二甲苯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邻二甲苯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硝基苯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0.09</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苯胺</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r>
              <w:rPr>
                <w:rFonts w:hint="eastAsia" w:eastAsia="宋体" w:cs="Times New Roman"/>
                <w:sz w:val="21"/>
                <w:szCs w:val="21"/>
                <w:highlight w:val="none"/>
                <w:lang w:val="en-US" w:eastAsia="zh-CN"/>
              </w:rPr>
              <w:t>0</w:t>
            </w:r>
            <w:r>
              <w:rPr>
                <w:rFonts w:ascii="Times New Roman" w:hAnsi="Times New Roman" w:eastAsia="宋体" w:cs="Times New Roman"/>
                <w:sz w:val="21"/>
                <w:szCs w:val="21"/>
                <w:highlight w:val="none"/>
              </w:rPr>
              <w:t>5mg/kg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2-氯酚</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0.06mg/kg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苯并（a）芘</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苯并（b）荧蒽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苯并（k）荧蒽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highlight w:val="none"/>
                <w:lang w:eastAsia="zh-CN"/>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䓛</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rPr>
            </w:pP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rPr>
            </w:pP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0.1</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二苯并（a，h）蒽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茚并（1，2，3-cd）芘</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萘</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0.09mg/kg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pH</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玻璃电极法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6920-1986</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玻璃电极</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石油类</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FF0000"/>
                <w:sz w:val="21"/>
                <w:szCs w:val="21"/>
                <w:highlight w:val="none"/>
                <w:lang w:eastAsia="zh-CN"/>
              </w:rPr>
            </w:pPr>
            <w:r>
              <w:rPr>
                <w:rFonts w:hint="eastAsia" w:eastAsia="宋体" w:cs="Times New Roman"/>
                <w:color w:val="FF0000"/>
                <w:sz w:val="21"/>
                <w:szCs w:val="21"/>
                <w:highlight w:val="none"/>
                <w:lang w:eastAsia="zh-CN"/>
              </w:rPr>
              <w:t>《</w:t>
            </w:r>
            <w:r>
              <w:rPr>
                <w:rFonts w:hint="eastAsia" w:eastAsia="宋体" w:cs="Times New Roman"/>
                <w:color w:val="FF0000"/>
                <w:sz w:val="21"/>
                <w:szCs w:val="21"/>
                <w:highlight w:val="none"/>
                <w:lang w:val="en-US" w:eastAsia="zh-CN"/>
              </w:rPr>
              <w:t>土壤 石油类的测定 红外分光光度法</w:t>
            </w:r>
            <w:r>
              <w:rPr>
                <w:rFonts w:hint="eastAsia" w:eastAsia="宋体" w:cs="Times New Roman"/>
                <w:color w:val="FF0000"/>
                <w:sz w:val="21"/>
                <w:szCs w:val="21"/>
                <w:highlight w:val="none"/>
                <w:lang w:eastAsia="zh-CN"/>
              </w:rPr>
              <w:t>》（</w:t>
            </w:r>
            <w:r>
              <w:rPr>
                <w:rFonts w:hint="eastAsia" w:eastAsia="宋体" w:cs="Times New Roman"/>
                <w:color w:val="FF0000"/>
                <w:sz w:val="21"/>
                <w:szCs w:val="21"/>
                <w:highlight w:val="none"/>
                <w:lang w:val="en-US" w:eastAsia="zh-CN"/>
              </w:rPr>
              <w:t>HJ 1051-2019</w:t>
            </w:r>
            <w:r>
              <w:rPr>
                <w:rFonts w:hint="eastAsia" w:eastAsia="宋体" w:cs="Times New Roman"/>
                <w:color w:val="FF0000"/>
                <w:sz w:val="21"/>
                <w:szCs w:val="21"/>
                <w:highlight w:val="none"/>
                <w:lang w:eastAsia="zh-CN"/>
              </w:rPr>
              <w:t>）</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红外分光测油仪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w:t>
            </w:r>
            <w:r>
              <w:rPr>
                <w:rFonts w:ascii="Times New Roman" w:hAnsi="Times New Roman" w:eastAsia="宋体" w:cs="Times New Roman"/>
                <w:color w:val="FF0000"/>
                <w:sz w:val="21"/>
                <w:szCs w:val="21"/>
                <w:highlight w:val="none"/>
              </w:rPr>
              <w:t>mg/kg</w:t>
            </w:r>
          </w:p>
        </w:tc>
      </w:tr>
    </w:tbl>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7</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监测结果与评价</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监测结果见表4.</w:t>
      </w:r>
      <w:r>
        <w:rPr>
          <w:rFonts w:hint="eastAsia" w:ascii="Times New Roman" w:hAnsi="Times New Roman" w:eastAsia="宋体" w:cs="Times New Roman"/>
          <w:sz w:val="24"/>
          <w:szCs w:val="24"/>
          <w:highlight w:val="none"/>
          <w:lang w:val="en-US" w:eastAsia="zh-CN"/>
        </w:rPr>
        <w:t>2-</w:t>
      </w:r>
      <w:r>
        <w:rPr>
          <w:rFonts w:hint="eastAsia" w:eastAsia="宋体" w:cs="Times New Roman"/>
          <w:sz w:val="24"/>
          <w:szCs w:val="24"/>
          <w:highlight w:val="none"/>
          <w:lang w:val="en-US" w:eastAsia="zh-CN"/>
        </w:rPr>
        <w:t>8和表4.2-9</w:t>
      </w:r>
      <w:r>
        <w:rPr>
          <w:rFonts w:ascii="Times New Roman" w:hAnsi="Times New Roman" w:eastAsia="宋体" w:cs="Times New Roman"/>
          <w:sz w:val="24"/>
          <w:szCs w:val="24"/>
          <w:highlight w:val="none"/>
        </w:rPr>
        <w:t>。</w:t>
      </w:r>
    </w:p>
    <w:p>
      <w:pPr>
        <w:spacing w:line="480" w:lineRule="exact"/>
        <w:ind w:firstLine="480" w:firstLineChars="200"/>
        <w:jc w:val="center"/>
        <w:rPr>
          <w:rFonts w:ascii="Times New Roman" w:hAnsi="Times New Roman" w:eastAsia="宋体" w:cs="Times New Roman"/>
          <w:b/>
          <w:szCs w:val="21"/>
          <w:highlight w:val="none"/>
        </w:rPr>
      </w:pPr>
      <w:r>
        <w:rPr>
          <w:rFonts w:ascii="Times New Roman" w:hAnsi="Times New Roman" w:eastAsia="宋体" w:cs="Times New Roman"/>
          <w:sz w:val="24"/>
          <w:szCs w:val="24"/>
          <w:highlight w:val="none"/>
        </w:rPr>
        <w:t>表4.</w:t>
      </w:r>
      <w:r>
        <w:rPr>
          <w:rFonts w:hint="eastAsia" w:ascii="Times New Roman" w:hAnsi="Times New Roman" w:eastAsia="宋体" w:cs="Times New Roman"/>
          <w:sz w:val="24"/>
          <w:szCs w:val="24"/>
          <w:highlight w:val="none"/>
          <w:lang w:val="en-US" w:eastAsia="zh-CN"/>
        </w:rPr>
        <w:t>2-</w:t>
      </w:r>
      <w:r>
        <w:rPr>
          <w:rFonts w:hint="eastAsia" w:eastAsia="宋体" w:cs="Times New Roman"/>
          <w:sz w:val="24"/>
          <w:szCs w:val="24"/>
          <w:highlight w:val="none"/>
          <w:lang w:val="en-US" w:eastAsia="zh-CN"/>
        </w:rPr>
        <w:t>8</w:t>
      </w:r>
      <w:r>
        <w:rPr>
          <w:rFonts w:ascii="Times New Roman" w:hAnsi="Times New Roman" w:eastAsia="宋体" w:cs="Times New Roman"/>
          <w:sz w:val="24"/>
          <w:szCs w:val="24"/>
          <w:highlight w:val="none"/>
        </w:rPr>
        <w:t xml:space="preserve">  土壤环境质量检测结果评价</w:t>
      </w:r>
      <w:r>
        <w:rPr>
          <w:rFonts w:ascii="Times New Roman" w:hAnsi="Times New Roman" w:eastAsia="宋体" w:cs="Times New Roman"/>
          <w:sz w:val="24"/>
          <w:szCs w:val="24"/>
          <w:highlight w:val="none"/>
        </w:rPr>
        <w:tab/>
      </w:r>
      <w:r>
        <w:rPr>
          <w:rFonts w:ascii="Times New Roman" w:hAnsi="Times New Roman" w:eastAsia="宋体" w:cs="Times New Roman"/>
          <w:sz w:val="24"/>
          <w:szCs w:val="24"/>
          <w:highlight w:val="none"/>
        </w:rPr>
        <w:tab/>
      </w:r>
      <w:r>
        <w:rPr>
          <w:rFonts w:ascii="Times New Roman" w:hAnsi="Times New Roman" w:eastAsia="宋体" w:cs="Times New Roman"/>
          <w:b/>
          <w:szCs w:val="21"/>
          <w:highlight w:val="none"/>
        </w:rPr>
        <w:tab/>
      </w:r>
    </w:p>
    <w:tbl>
      <w:tblPr>
        <w:tblStyle w:val="35"/>
        <w:tblW w:w="5000"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553"/>
        <w:gridCol w:w="1514"/>
        <w:gridCol w:w="1727"/>
        <w:gridCol w:w="268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序号</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检测项目</w:t>
            </w:r>
          </w:p>
        </w:tc>
        <w:tc>
          <w:tcPr>
            <w:tcW w:w="88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单位</w:t>
            </w: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检测点位及检测日期</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eastAsia="宋体" w:cs="Times New Roman"/>
                <w:sz w:val="21"/>
                <w:szCs w:val="21"/>
                <w:highlight w:val="none"/>
                <w:lang w:val="en-US" w:eastAsia="zh-CN"/>
              </w:rPr>
              <w:t>3</w:t>
            </w:r>
            <w:r>
              <w:rPr>
                <w:rFonts w:ascii="Times New Roman" w:hAnsi="Times New Roman" w:eastAsia="宋体" w:cs="Times New Roman"/>
                <w:sz w:val="21"/>
                <w:szCs w:val="21"/>
                <w:highlight w:val="none"/>
              </w:rPr>
              <w:t>月</w:t>
            </w:r>
            <w:r>
              <w:rPr>
                <w:rFonts w:hint="eastAsia" w:eastAsia="宋体" w:cs="Times New Roman"/>
                <w:sz w:val="21"/>
                <w:szCs w:val="21"/>
                <w:highlight w:val="none"/>
                <w:lang w:val="en-US" w:eastAsia="zh-CN"/>
              </w:rPr>
              <w:t>15</w:t>
            </w:r>
            <w:r>
              <w:rPr>
                <w:rFonts w:ascii="Times New Roman" w:hAnsi="Times New Roman" w:eastAsia="宋体" w:cs="Times New Roman"/>
                <w:sz w:val="21"/>
                <w:szCs w:val="21"/>
                <w:highlight w:val="none"/>
              </w:rPr>
              <w:t>日</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（0-20cm）</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8.17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镉</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0.43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0.66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铬（六价）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0.5L</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8.77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铜</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18000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0.00</w:t>
            </w:r>
            <w:r>
              <w:rPr>
                <w:rFonts w:hint="eastAsia" w:ascii="Times New Roman" w:hAnsi="Times New Roman" w:eastAsia="宋体" w:cs="Times New Roman"/>
                <w:sz w:val="21"/>
                <w:szCs w:val="21"/>
                <w:highlight w:val="none"/>
              </w:rPr>
              <w:t>0</w:t>
            </w:r>
            <w:r>
              <w:rPr>
                <w:rFonts w:hint="eastAsia" w:ascii="Times New Roman" w:hAnsi="Times New Roman" w:eastAsia="宋体" w:cs="Times New Roman"/>
                <w:sz w:val="21"/>
                <w:szCs w:val="21"/>
                <w:highlight w:val="none"/>
                <w:lang w:val="en-US" w:eastAsia="zh-CN"/>
              </w:rPr>
              <w:t>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铅</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6.9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汞</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0.118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2"/>
                <w:szCs w:val="22"/>
                <w:highlight w:val="none"/>
              </w:rPr>
              <w:t>38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0.31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镍</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2.44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化碳</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0.0002</w:t>
            </w:r>
            <w:r>
              <w:rPr>
                <w:rFonts w:hint="eastAsia" w:ascii="Times New Roman" w:hAnsi="Times New Roman" w:eastAsia="宋体" w:cs="Times New Roman"/>
                <w:sz w:val="21"/>
                <w:szCs w:val="21"/>
                <w:highlight w:val="none"/>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氯仿</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氯甲烷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0.0000</w:t>
            </w:r>
            <w:r>
              <w:rPr>
                <w:rFonts w:hint="eastAsia" w:ascii="Times New Roman" w:hAnsi="Times New Roman" w:eastAsia="宋体" w:cs="Times New Roman"/>
                <w:sz w:val="21"/>
                <w:szCs w:val="21"/>
                <w:highlight w:val="none"/>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6.7</w:t>
            </w:r>
            <w:r>
              <w:rPr>
                <w:rFonts w:ascii="Times New Roman" w:hAnsi="Times New Roman" w:eastAsia="宋体" w:cs="Times New Roman"/>
                <w:sz w:val="21"/>
                <w:szCs w:val="21"/>
                <w:highlight w:val="none"/>
              </w:rPr>
              <w:t>E-05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1.3E-04</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7.6</w:t>
            </w:r>
            <w:r>
              <w:rPr>
                <w:rFonts w:ascii="Times New Roman" w:hAnsi="Times New Roman" w:eastAsia="宋体" w:cs="Times New Roman"/>
                <w:sz w:val="21"/>
                <w:szCs w:val="21"/>
                <w:highlight w:val="none"/>
              </w:rPr>
              <w:t>E-06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顺-1,2-二氯乙烯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596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7.6E-07</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反-1,2-二氯乙烯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二氯甲烷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616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1.2×10</w:t>
            </w:r>
            <w:r>
              <w:rPr>
                <w:rFonts w:hint="eastAsia" w:ascii="Times New Roman" w:hAnsi="Times New Roman" w:eastAsia="宋体" w:cs="Times New Roman"/>
                <w:sz w:val="21"/>
                <w:szCs w:val="21"/>
                <w:highlight w:val="none"/>
                <w:vertAlign w:val="superscript"/>
              </w:rPr>
              <w:t>-6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0.00011</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1,1,1,2-四氯乙烷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0.00012</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1,1,2,2-四氯乙烷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8.8</w:t>
            </w:r>
            <w:r>
              <w:rPr>
                <w:rFonts w:ascii="Times New Roman" w:hAnsi="Times New Roman" w:eastAsia="宋体" w:cs="Times New Roman"/>
                <w:sz w:val="21"/>
                <w:szCs w:val="21"/>
                <w:highlight w:val="none"/>
              </w:rPr>
              <w:t>E-05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1,1,1-三氯乙烷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840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7.7</w:t>
            </w:r>
            <w:r>
              <w:rPr>
                <w:rFonts w:ascii="Times New Roman" w:hAnsi="Times New Roman" w:eastAsia="宋体" w:cs="Times New Roman"/>
                <w:sz w:val="21"/>
                <w:szCs w:val="21"/>
                <w:highlight w:val="none"/>
              </w:rPr>
              <w:t>E-07</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1,1,2-三氯乙烷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r>
              <w:rPr>
                <w:rFonts w:hint="eastAsia" w:ascii="Times New Roman" w:hAnsi="Times New Roman" w:eastAsia="宋体" w:cs="Times New Roman"/>
                <w:sz w:val="21"/>
                <w:szCs w:val="21"/>
                <w:highlight w:val="none"/>
              </w:rPr>
              <w:t>0</w:t>
            </w:r>
            <w:r>
              <w:rPr>
                <w:rFonts w:ascii="Times New Roman" w:hAnsi="Times New Roman" w:eastAsia="宋体" w:cs="Times New Roman"/>
                <w:sz w:val="21"/>
                <w:szCs w:val="21"/>
                <w:highlight w:val="none"/>
              </w:rPr>
              <w:t>E-04</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三氯乙烯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2.0</w:t>
            </w:r>
            <w:r>
              <w:rPr>
                <w:rFonts w:ascii="Times New Roman" w:hAnsi="Times New Roman" w:eastAsia="宋体" w:cs="Times New Roman"/>
                <w:sz w:val="21"/>
                <w:szCs w:val="21"/>
                <w:highlight w:val="none"/>
              </w:rPr>
              <w:t>E-04</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1,2,3-三氯丙烷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0.001</w:t>
            </w:r>
            <w:r>
              <w:rPr>
                <w:rFonts w:hint="eastAsia" w:ascii="Times New Roman" w:hAnsi="Times New Roman" w:eastAsia="宋体" w:cs="Times New Roman"/>
                <w:sz w:val="21"/>
                <w:szCs w:val="21"/>
                <w:highlight w:val="none"/>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0.43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0.001</w:t>
            </w:r>
            <w:r>
              <w:rPr>
                <w:rFonts w:hint="eastAsia" w:ascii="Times New Roman" w:hAnsi="Times New Roman" w:eastAsia="宋体" w:cs="Times New Roman"/>
                <w:sz w:val="21"/>
                <w:szCs w:val="21"/>
                <w:highlight w:val="none"/>
              </w:rPr>
              <w:t>1</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w:t>
            </w:r>
            <w:r>
              <w:rPr>
                <w:rFonts w:hint="eastAsia" w:ascii="Times New Roman" w:hAnsi="Times New Roman" w:eastAsia="宋体" w:cs="Times New Roman"/>
                <w:sz w:val="21"/>
                <w:szCs w:val="21"/>
                <w:highlight w:val="none"/>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E-06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1,4-二氯苯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0.0000375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乙苯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2.1E-05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4.3</w:t>
            </w:r>
            <w:r>
              <w:rPr>
                <w:rFonts w:ascii="Times New Roman" w:hAnsi="Times New Roman" w:eastAsia="宋体" w:cs="Times New Roman"/>
                <w:sz w:val="21"/>
                <w:szCs w:val="21"/>
                <w:highlight w:val="none"/>
              </w:rPr>
              <w:t>E-07</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甲苯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5.4E-07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间二甲苯+对二甲苯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1.1E-06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邻二甲苯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640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9.4</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2-氯酚</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2256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萘</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0.00064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䓛</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1293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3.9E-05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苯并（b）荧蒽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6.7E-03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苯并（k）荧蒽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3.3E-04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苯并（a）芘</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茚并（1，2，3-cd）芘</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二苯并（a，h）蒽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硝基苯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0.00059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苯胺</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w:t>
            </w:r>
            <w:r>
              <w:rPr>
                <w:rFonts w:hint="eastAsia" w:ascii="Times New Roman" w:hAnsi="Times New Roman" w:eastAsia="宋体" w:cs="Times New Roman"/>
                <w:sz w:val="21"/>
                <w:szCs w:val="21"/>
                <w:highlight w:val="none"/>
              </w:rPr>
              <w:t>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石油类</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5.15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s="Times New Roman"/>
                <w:color w:val="FF0000"/>
                <w:sz w:val="21"/>
                <w:szCs w:val="21"/>
                <w:highlight w:val="none"/>
                <w:lang w:val="en-US" w:eastAsia="zh-CN"/>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4500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s="Times New Roman"/>
                <w:color w:val="FF0000"/>
                <w:sz w:val="21"/>
                <w:szCs w:val="21"/>
                <w:highlight w:val="none"/>
                <w:lang w:val="en-US" w:eastAsia="zh-CN"/>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0.001</w:t>
            </w:r>
          </w:p>
        </w:tc>
      </w:tr>
    </w:tbl>
    <w:p>
      <w:pPr>
        <w:spacing w:line="480" w:lineRule="exact"/>
        <w:ind w:firstLine="482" w:firstLineChars="200"/>
        <w:jc w:val="center"/>
        <w:rPr>
          <w:rFonts w:ascii="Times New Roman" w:hAnsi="Times New Roman" w:eastAsia="宋体" w:cs="Times New Roman"/>
          <w:b/>
          <w:bCs/>
          <w:szCs w:val="21"/>
          <w:highlight w:val="none"/>
        </w:rPr>
      </w:pPr>
      <w:r>
        <w:rPr>
          <w:rFonts w:ascii="Times New Roman" w:hAnsi="Times New Roman" w:eastAsia="宋体" w:cs="Times New Roman"/>
          <w:b/>
          <w:bCs/>
          <w:sz w:val="24"/>
          <w:szCs w:val="24"/>
          <w:highlight w:val="none"/>
        </w:rPr>
        <w:t>表4.</w:t>
      </w:r>
      <w:r>
        <w:rPr>
          <w:rFonts w:hint="eastAsia" w:ascii="Times New Roman" w:hAnsi="Times New Roman" w:eastAsia="宋体" w:cs="Times New Roman"/>
          <w:b/>
          <w:bCs/>
          <w:sz w:val="24"/>
          <w:szCs w:val="24"/>
          <w:highlight w:val="none"/>
          <w:lang w:val="en-US" w:eastAsia="zh-CN"/>
        </w:rPr>
        <w:t>2-</w:t>
      </w:r>
      <w:r>
        <w:rPr>
          <w:rFonts w:hint="eastAsia" w:eastAsia="宋体" w:cs="Times New Roman"/>
          <w:b/>
          <w:bCs/>
          <w:sz w:val="24"/>
          <w:szCs w:val="24"/>
          <w:highlight w:val="none"/>
          <w:lang w:val="en-US" w:eastAsia="zh-CN"/>
        </w:rPr>
        <w:t>9</w:t>
      </w:r>
      <w:r>
        <w:rPr>
          <w:rFonts w:ascii="Times New Roman" w:hAnsi="Times New Roman" w:eastAsia="宋体" w:cs="Times New Roman"/>
          <w:b/>
          <w:bCs/>
          <w:sz w:val="24"/>
          <w:szCs w:val="24"/>
          <w:highlight w:val="none"/>
        </w:rPr>
        <w:t xml:space="preserve"> 土壤环境质量检测结果评价</w:t>
      </w:r>
      <w:r>
        <w:rPr>
          <w:rFonts w:ascii="Times New Roman" w:hAnsi="Times New Roman" w:eastAsia="宋体" w:cs="Times New Roman"/>
          <w:b/>
          <w:bCs/>
          <w:sz w:val="24"/>
          <w:szCs w:val="24"/>
          <w:highlight w:val="none"/>
        </w:rPr>
        <w:tab/>
      </w:r>
      <w:r>
        <w:rPr>
          <w:rFonts w:ascii="Times New Roman" w:hAnsi="Times New Roman" w:eastAsia="宋体" w:cs="Times New Roman"/>
          <w:b/>
          <w:bCs/>
          <w:sz w:val="24"/>
          <w:szCs w:val="24"/>
          <w:highlight w:val="none"/>
        </w:rPr>
        <w:tab/>
      </w:r>
      <w:r>
        <w:rPr>
          <w:rFonts w:ascii="Times New Roman" w:hAnsi="Times New Roman" w:eastAsia="宋体" w:cs="Times New Roman"/>
          <w:b/>
          <w:bCs/>
          <w:szCs w:val="21"/>
          <w:highlight w:val="none"/>
        </w:rPr>
        <w:tab/>
      </w:r>
    </w:p>
    <w:tbl>
      <w:tblPr>
        <w:tblStyle w:val="35"/>
        <w:tblW w:w="4750"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11"/>
        <w:gridCol w:w="1336"/>
        <w:gridCol w:w="1299"/>
        <w:gridCol w:w="1079"/>
        <w:gridCol w:w="1328"/>
        <w:gridCol w:w="12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序号</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检测项目</w:t>
            </w:r>
          </w:p>
        </w:tc>
        <w:tc>
          <w:tcPr>
            <w:tcW w:w="8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单位</w:t>
            </w:r>
          </w:p>
        </w:tc>
        <w:tc>
          <w:tcPr>
            <w:tcW w:w="307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检测点位及检测日期</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307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s="Times New Roman"/>
                <w:sz w:val="21"/>
                <w:szCs w:val="21"/>
                <w:highlight w:val="none"/>
                <w:lang w:val="en-US" w:eastAsia="zh-CN"/>
              </w:rPr>
            </w:pPr>
            <w:r>
              <w:rPr>
                <w:rFonts w:hint="eastAsia" w:eastAsia="宋体" w:cs="Times New Roman"/>
                <w:sz w:val="21"/>
                <w:szCs w:val="21"/>
                <w:highlight w:val="none"/>
                <w:lang w:val="en-US" w:eastAsia="zh-CN"/>
              </w:rPr>
              <w:t>3</w:t>
            </w:r>
            <w:r>
              <w:rPr>
                <w:rFonts w:ascii="Times New Roman" w:hAnsi="Times New Roman" w:eastAsia="宋体" w:cs="Times New Roman"/>
                <w:sz w:val="21"/>
                <w:szCs w:val="21"/>
                <w:highlight w:val="none"/>
              </w:rPr>
              <w:t>月</w:t>
            </w:r>
            <w:r>
              <w:rPr>
                <w:rFonts w:hint="eastAsia" w:eastAsia="宋体" w:cs="Times New Roman"/>
                <w:sz w:val="21"/>
                <w:szCs w:val="21"/>
                <w:highlight w:val="none"/>
                <w:lang w:val="en-US" w:eastAsia="zh-CN"/>
              </w:rPr>
              <w:t>15</w:t>
            </w:r>
            <w:r>
              <w:rPr>
                <w:rFonts w:ascii="Times New Roman" w:hAnsi="Times New Roman" w:eastAsia="宋体" w:cs="Times New Roman"/>
                <w:sz w:val="21"/>
                <w:szCs w:val="21"/>
                <w:highlight w:val="none"/>
              </w:rPr>
              <w:t>日</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14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东</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2</w:t>
            </w:r>
          </w:p>
        </w:tc>
        <w:tc>
          <w:tcPr>
            <w:tcW w:w="16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14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（0-20cm）</w:t>
            </w:r>
          </w:p>
        </w:tc>
        <w:tc>
          <w:tcPr>
            <w:tcW w:w="16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（0-20cm）</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砷</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5.57</w:t>
            </w:r>
          </w:p>
        </w:tc>
        <w:tc>
          <w:tcPr>
            <w:tcW w:w="820"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60</w:t>
            </w:r>
          </w:p>
        </w:tc>
        <w:tc>
          <w:tcPr>
            <w:tcW w:w="820"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9.28</w:t>
            </w:r>
          </w:p>
        </w:tc>
        <w:tc>
          <w:tcPr>
            <w:tcW w:w="820"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镉</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0.48</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65</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0.74</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铬（六价）</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0.5L</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0.5L</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5.7</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8.77</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铜</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18000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0.09</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铅</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0.75</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汞</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0.195</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0.663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2"/>
                <w:szCs w:val="22"/>
                <w:highlight w:val="none"/>
              </w:rPr>
              <w:t>38</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2"/>
                <w:szCs w:val="22"/>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38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0.51</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镍</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27</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pH</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7.78</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7.80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9</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石油类</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4L</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4L</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4500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4500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由监测结果可以看出，区域内土壤中各监测因子监测结果均满足《土壤环境质量建设用地土壤污染风险管控标准》（GB36600-2018）表1中筛选值第二类用地要求，区块内土壤环境质量现状良好。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eastAsia="zh-CN"/>
        </w:rPr>
      </w:pPr>
      <w:bookmarkStart w:id="160" w:name="_Toc5708"/>
      <w:r>
        <w:rPr>
          <w:rFonts w:hint="eastAsia" w:ascii="Times New Roman" w:hAnsi="Times New Roman" w:eastAsia="宋体"/>
          <w:b/>
          <w:bCs w:val="0"/>
          <w:color w:val="auto"/>
          <w:sz w:val="30"/>
          <w:szCs w:val="30"/>
          <w:highlight w:val="none"/>
          <w:lang w:val="en-US" w:eastAsia="zh-CN"/>
        </w:rPr>
        <w:t>4.2.4 生态环境现状调查与评价</w:t>
      </w:r>
      <w:bookmarkEnd w:id="160"/>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auto"/>
          <w:highlight w:val="none"/>
          <w:lang w:val="en-US" w:eastAsia="zh-CN"/>
        </w:rPr>
      </w:pPr>
      <w:r>
        <w:rPr>
          <w:rFonts w:hint="eastAsia" w:eastAsia="宋体"/>
          <w:b/>
          <w:bCs/>
          <w:color w:val="auto"/>
          <w:highlight w:val="none"/>
          <w:lang w:val="en-US" w:eastAsia="zh-CN"/>
        </w:rPr>
        <w:t>4.2.4.1 基础资料获取</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yellow"/>
          <w:lang w:eastAsia="zh-CN"/>
        </w:rPr>
      </w:pPr>
      <w:r>
        <w:rPr>
          <w:rFonts w:hint="eastAsia" w:eastAsia="宋体"/>
          <w:color w:val="auto"/>
          <w:highlight w:val="none"/>
          <w:lang w:eastAsia="zh-CN"/>
        </w:rPr>
        <w:t>解译使用的信息源主要为landsat TM8美国NASA陆地卫星8遥感影像，数据获取时间20</w:t>
      </w:r>
      <w:r>
        <w:rPr>
          <w:rFonts w:hint="eastAsia" w:eastAsia="宋体"/>
          <w:color w:val="auto"/>
          <w:highlight w:val="none"/>
          <w:lang w:val="en-US" w:eastAsia="zh-CN"/>
        </w:rPr>
        <w:t>20</w:t>
      </w:r>
      <w:r>
        <w:rPr>
          <w:rFonts w:hint="eastAsia" w:eastAsia="宋体"/>
          <w:color w:val="auto"/>
          <w:highlight w:val="none"/>
          <w:lang w:eastAsia="zh-CN"/>
        </w:rPr>
        <w:t>年7月，选取这一时间段遥感数据，主要考虑到这一时期的地表类型差异是一年中较明显的时候，该时间段具有地物区分显著、地表信息丰富的特点，有利于对各生态环境因子的研判，评价范围为各场界外延1km，遥感影像图见</w:t>
      </w:r>
      <w:r>
        <w:rPr>
          <w:rFonts w:hint="eastAsia" w:eastAsia="宋体"/>
          <w:color w:val="auto"/>
          <w:highlight w:val="none"/>
          <w:lang w:val="en-US" w:eastAsia="zh-CN"/>
        </w:rPr>
        <w:t>附</w:t>
      </w:r>
      <w:r>
        <w:rPr>
          <w:rFonts w:hint="eastAsia" w:eastAsia="宋体"/>
          <w:color w:val="auto"/>
          <w:highlight w:val="none"/>
          <w:lang w:eastAsia="zh-CN"/>
        </w:rPr>
        <w:t>图</w:t>
      </w:r>
      <w:r>
        <w:rPr>
          <w:rFonts w:hint="eastAsia" w:eastAsia="宋体"/>
          <w:color w:val="auto"/>
          <w:highlight w:val="none"/>
          <w:lang w:val="en-US" w:eastAsia="zh-CN"/>
        </w:rPr>
        <w:t>9</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TM遥感影像是由美国陆地卫星上搭载的TM专题制图仪获取的。地面覆盖范围185km×185km。由于它有多波段和多时相的优点，TM影像具有较高的光谱分辨率，光谱信息丰富，其星下点分辨率为15m，16天对整个地球观测一遍，可以用7个波段中的三个波段组成系列图。各波段的信息量不同，波段之间存在着不同程度的相关性和差异性，这就需要根据用途选取合适的波段合成所需影像图。TM影像各谱段具体用途见表</w:t>
      </w:r>
      <w:r>
        <w:rPr>
          <w:rFonts w:hint="eastAsia" w:eastAsia="宋体"/>
          <w:color w:val="auto"/>
          <w:highlight w:val="none"/>
          <w:lang w:val="en-US" w:eastAsia="zh-CN"/>
        </w:rPr>
        <w:t>4.2-10</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auto"/>
          <w:highlight w:val="none"/>
          <w:lang w:eastAsia="zh-CN"/>
        </w:rPr>
      </w:pPr>
      <w:r>
        <w:rPr>
          <w:rFonts w:hint="eastAsia" w:eastAsia="宋体"/>
          <w:b/>
          <w:bCs/>
          <w:color w:val="auto"/>
          <w:highlight w:val="none"/>
          <w:lang w:eastAsia="zh-CN"/>
        </w:rPr>
        <w:t>表</w:t>
      </w:r>
      <w:r>
        <w:rPr>
          <w:rFonts w:hint="eastAsia" w:eastAsia="宋体"/>
          <w:b/>
          <w:bCs/>
          <w:color w:val="auto"/>
          <w:highlight w:val="none"/>
          <w:lang w:val="en-US" w:eastAsia="zh-CN"/>
        </w:rPr>
        <w:t>4.2-10</w:t>
      </w:r>
      <w:r>
        <w:rPr>
          <w:rFonts w:hint="eastAsia" w:eastAsia="宋体"/>
          <w:b/>
          <w:bCs/>
          <w:color w:val="auto"/>
          <w:highlight w:val="none"/>
          <w:lang w:eastAsia="zh-CN"/>
        </w:rPr>
        <w:t xml:space="preserve">   TM影像各谱段具体用途表</w:t>
      </w:r>
    </w:p>
    <w:tbl>
      <w:tblPr>
        <w:tblStyle w:val="35"/>
        <w:tblW w:w="0" w:type="auto"/>
        <w:jc w:val="center"/>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0"/>
        <w:gridCol w:w="2385"/>
        <w:gridCol w:w="952"/>
        <w:gridCol w:w="432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3"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光谱段</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波长(um)</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分辨率(m)</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功能</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0.45～0.52蓝绿谱段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绘水系图和森林图，识别土壤和常绿落叶植被</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2</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0.52～0.60绿谱段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探测健康植物绿色反射率和反映水下特征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3</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0.63～0.69红谱段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测量植物叶绿素吸收率，进行植被分类</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4</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0.76～0.90近红外谱段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用于生物量和作物长势的测定</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5</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1.55～1.75近红外谱段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土壤水分和地质研究，以及从云中间区分出雪</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6</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10.4～12.5热红外谱段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植物受热强度和其他热图测量</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7</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2.08～2.35近红外谱段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用于城市土地利用，岩石光谱反射及地质探测</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遥感解译指从图像获取信息的基本过程。即根据各专业（部门）的要求，运用解译标志和实践经验与知识，从遥感影像上识别目标，定性、定量地提取出目标的分布、结构、功能等有关信息，并把它们表示在地理底图上的过程。遥感影像的解译标志是遥感图像上能直接反映和判别地物信息的影像特征。包括形状、大小、阴影、色调、颜色、纹理、图案、位置和布局。解译者利用其中某些标志能直接在图像上识别地物或现象的性质、类型和状况；或者通过已识别出的地物或现象，进行相互关系的推理分析，进一步弄清楚其它不易在遥感影像上直接解译的目标，例如根据植被、地貌与土壤的关系，识别土壤的类型和分布等。综合解译标志和实践经验与知识，选用RGB-432（即光谱段432组合）合成标准假彩色图像，以此作为解译和矢量化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auto"/>
          <w:highlight w:val="none"/>
          <w:lang w:val="en-US" w:eastAsia="zh-CN"/>
        </w:rPr>
      </w:pPr>
      <w:r>
        <w:rPr>
          <w:rFonts w:hint="eastAsia" w:eastAsia="宋体"/>
          <w:b/>
          <w:bCs/>
          <w:color w:val="auto"/>
          <w:highlight w:val="none"/>
          <w:lang w:val="en-US" w:eastAsia="zh-CN"/>
        </w:rPr>
        <w:t>4.2.4.2 植被与植物资源现状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w:t>
      </w:r>
      <w:r>
        <w:rPr>
          <w:rFonts w:hint="eastAsia" w:eastAsia="宋体"/>
          <w:color w:val="auto"/>
          <w:highlight w:val="none"/>
          <w:lang w:val="en-US" w:eastAsia="zh-CN"/>
        </w:rPr>
        <w:t>1</w:t>
      </w:r>
      <w:r>
        <w:rPr>
          <w:rFonts w:hint="eastAsia" w:eastAsia="宋体"/>
          <w:color w:val="auto"/>
          <w:highlight w:val="none"/>
          <w:lang w:eastAsia="zh-CN"/>
        </w:rPr>
        <w:t>）植被分布现状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根据《内蒙古自治区生态功能区划》，项目所在区域属乌兰察布荒漠草原防风固沙生态屏障功能区（IV-1-4）；本项目在内蒙古植物区系划分图中属于欧亚草原植物区-蒙古高原草原植物省-乌兰察布高原州；在内蒙古植被地带划分图中属于中温型草原带-荒漠草原亚带。本区域植被主要有典型旱生、广旱生的植物，以中旱生丛生禾草占优势，其次是中旱生的杂类草。主要代表群系为克氏针茅草原，优势植物主要有克氏针茅、短花针茅、芨芨草、小针茅、多根葱等。草群高度一般在4～35cm，覆盖度在10～30%左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矿区所在地区的植物属欧亚草原植物区蒙古高原植物省蒙古高原东部州。其主体成分为达乌里—蒙古草原成分，兼有黑海-哈萨克斯坦-蒙古种和哈萨克斯坦-蒙古种等成分，本区植物区系成分较为复杂，植物种类相对较多。根据实地调查和资料记载，本区域植物主要属于禾本科、豆科、菊科、百合科等种类，植物种类均为广布种，没有珍稀濒危植物物种分布。评价区常见植物和优势植物名录见表</w:t>
      </w:r>
      <w:r>
        <w:rPr>
          <w:rFonts w:hint="eastAsia" w:eastAsia="宋体"/>
          <w:color w:val="auto"/>
          <w:highlight w:val="none"/>
          <w:lang w:val="en-US" w:eastAsia="zh-CN"/>
        </w:rPr>
        <w:t>4.2-11</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4.2-11</w:t>
      </w:r>
      <w:r>
        <w:rPr>
          <w:rFonts w:hint="eastAsia" w:eastAsia="宋体"/>
          <w:b/>
          <w:bCs/>
          <w:color w:val="FF0000"/>
          <w:highlight w:val="none"/>
          <w:lang w:eastAsia="zh-CN"/>
        </w:rPr>
        <w:t xml:space="preserve">   评价区常见植物名录</w:t>
      </w:r>
    </w:p>
    <w:tbl>
      <w:tblPr>
        <w:tblStyle w:val="35"/>
        <w:tblW w:w="5000" w:type="pct"/>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72"/>
        <w:gridCol w:w="3513"/>
        <w:gridCol w:w="1877"/>
        <w:gridCol w:w="166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名称</w:t>
            </w:r>
          </w:p>
        </w:tc>
        <w:tc>
          <w:tcPr>
            <w:tcW w:w="2061" w:type="pct"/>
            <w:tcBorders>
              <w:tl2br w:val="nil"/>
              <w:tr2bl w:val="nil"/>
            </w:tcBorders>
            <w:vAlign w:val="center"/>
          </w:tcPr>
          <w:p>
            <w:pPr>
              <w:pStyle w:val="52"/>
              <w:jc w:val="center"/>
              <w:rPr>
                <w:color w:val="FF0000"/>
              </w:rPr>
            </w:pPr>
            <w:r>
              <w:rPr>
                <w:color w:val="FF0000"/>
              </w:rPr>
              <w:t>拉丁文</w:t>
            </w:r>
          </w:p>
        </w:tc>
        <w:tc>
          <w:tcPr>
            <w:tcW w:w="1101" w:type="pct"/>
            <w:tcBorders>
              <w:tl2br w:val="nil"/>
              <w:tr2bl w:val="nil"/>
            </w:tcBorders>
            <w:vAlign w:val="center"/>
          </w:tcPr>
          <w:p>
            <w:pPr>
              <w:pStyle w:val="52"/>
              <w:jc w:val="center"/>
              <w:rPr>
                <w:color w:val="FF0000"/>
              </w:rPr>
            </w:pPr>
            <w:r>
              <w:rPr>
                <w:color w:val="FF0000"/>
              </w:rPr>
              <w:t>生活型</w:t>
            </w:r>
          </w:p>
        </w:tc>
        <w:tc>
          <w:tcPr>
            <w:tcW w:w="974" w:type="pct"/>
            <w:tcBorders>
              <w:tl2br w:val="nil"/>
              <w:tr2bl w:val="nil"/>
            </w:tcBorders>
            <w:vAlign w:val="center"/>
          </w:tcPr>
          <w:p>
            <w:pPr>
              <w:pStyle w:val="52"/>
              <w:jc w:val="center"/>
              <w:rPr>
                <w:color w:val="FF0000"/>
              </w:rPr>
            </w:pPr>
            <w:r>
              <w:rPr>
                <w:color w:val="FF0000"/>
              </w:rPr>
              <w:t>地理成份</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一、藜科  Chenopodiaceae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灰缘藜</w:t>
            </w:r>
          </w:p>
        </w:tc>
        <w:tc>
          <w:tcPr>
            <w:tcW w:w="2061" w:type="pct"/>
            <w:tcBorders>
              <w:tl2br w:val="nil"/>
              <w:tr2bl w:val="nil"/>
            </w:tcBorders>
            <w:vAlign w:val="center"/>
          </w:tcPr>
          <w:p>
            <w:pPr>
              <w:pStyle w:val="52"/>
              <w:jc w:val="center"/>
              <w:rPr>
                <w:color w:val="FF0000"/>
              </w:rPr>
            </w:pPr>
            <w:r>
              <w:rPr>
                <w:i/>
                <w:color w:val="FF0000"/>
              </w:rPr>
              <w:t>Ch. Glaucum</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r>
              <w:rPr>
                <w:color w:val="FF0000"/>
              </w:rPr>
              <w:t>世界种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猪毛菜</w:t>
            </w:r>
          </w:p>
        </w:tc>
        <w:tc>
          <w:tcPr>
            <w:tcW w:w="2061" w:type="pct"/>
            <w:tcBorders>
              <w:tl2br w:val="nil"/>
              <w:tr2bl w:val="nil"/>
            </w:tcBorders>
            <w:vAlign w:val="center"/>
          </w:tcPr>
          <w:p>
            <w:pPr>
              <w:pStyle w:val="52"/>
              <w:jc w:val="center"/>
              <w:rPr>
                <w:color w:val="FF0000"/>
              </w:rPr>
            </w:pPr>
            <w:r>
              <w:rPr>
                <w:i/>
                <w:color w:val="FF0000"/>
              </w:rPr>
              <w:t>Salsola Collina</w:t>
            </w:r>
            <w:r>
              <w:rPr>
                <w:color w:val="FF0000"/>
              </w:rPr>
              <w:t xml:space="preserve"> Pall</w:t>
            </w:r>
          </w:p>
        </w:tc>
        <w:tc>
          <w:tcPr>
            <w:tcW w:w="1101" w:type="pct"/>
            <w:tcBorders>
              <w:tl2br w:val="nil"/>
              <w:tr2bl w:val="nil"/>
            </w:tcBorders>
            <w:vAlign w:val="center"/>
          </w:tcPr>
          <w:p>
            <w:pPr>
              <w:pStyle w:val="52"/>
              <w:jc w:val="center"/>
              <w:rPr>
                <w:color w:val="FF0000"/>
              </w:rPr>
            </w:pPr>
            <w:r>
              <w:rPr>
                <w:color w:val="FF0000"/>
              </w:rPr>
              <w:t>一年草本</w:t>
            </w:r>
          </w:p>
        </w:tc>
        <w:tc>
          <w:tcPr>
            <w:tcW w:w="974" w:type="pct"/>
            <w:tcBorders>
              <w:tl2br w:val="nil"/>
              <w:tr2bl w:val="nil"/>
            </w:tcBorders>
            <w:vAlign w:val="center"/>
          </w:tcPr>
          <w:p>
            <w:pPr>
              <w:pStyle w:val="52"/>
              <w:jc w:val="center"/>
              <w:rPr>
                <w:color w:val="FF0000"/>
              </w:rPr>
            </w:pPr>
            <w:r>
              <w:rPr>
                <w:color w:val="FF0000"/>
              </w:rPr>
              <w:t>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二、毛莨科  Ranunculaccae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瓣蕊唐松草</w:t>
            </w:r>
          </w:p>
        </w:tc>
        <w:tc>
          <w:tcPr>
            <w:tcW w:w="2061" w:type="pct"/>
            <w:tcBorders>
              <w:tl2br w:val="nil"/>
              <w:tr2bl w:val="nil"/>
            </w:tcBorders>
            <w:vAlign w:val="center"/>
          </w:tcPr>
          <w:p>
            <w:pPr>
              <w:pStyle w:val="52"/>
              <w:jc w:val="center"/>
              <w:rPr>
                <w:color w:val="FF0000"/>
              </w:rPr>
            </w:pPr>
            <w:r>
              <w:rPr>
                <w:i/>
                <w:color w:val="FF0000"/>
              </w:rPr>
              <w:t>Thalicfrum Petaloiceum</w:t>
            </w:r>
            <w:r>
              <w:rPr>
                <w:color w:val="FF0000"/>
              </w:rPr>
              <w:t>.L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三、景天科  Crassulaceae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瓦松</w:t>
            </w:r>
          </w:p>
        </w:tc>
        <w:tc>
          <w:tcPr>
            <w:tcW w:w="2061" w:type="pct"/>
            <w:tcBorders>
              <w:tl2br w:val="nil"/>
              <w:tr2bl w:val="nil"/>
            </w:tcBorders>
            <w:vAlign w:val="center"/>
          </w:tcPr>
          <w:p>
            <w:pPr>
              <w:pStyle w:val="52"/>
              <w:jc w:val="center"/>
              <w:rPr>
                <w:color w:val="FF0000"/>
              </w:rPr>
            </w:pPr>
            <w:r>
              <w:rPr>
                <w:i/>
                <w:color w:val="FF0000"/>
              </w:rPr>
              <w:t>Orostachys fimbriatus</w:t>
            </w:r>
            <w:r>
              <w:rPr>
                <w:color w:val="FF0000"/>
              </w:rPr>
              <w:t>(Turcz. )Beryer</w:t>
            </w:r>
          </w:p>
        </w:tc>
        <w:tc>
          <w:tcPr>
            <w:tcW w:w="1101" w:type="pct"/>
            <w:tcBorders>
              <w:tl2br w:val="nil"/>
              <w:tr2bl w:val="nil"/>
            </w:tcBorders>
            <w:vAlign w:val="center"/>
          </w:tcPr>
          <w:p>
            <w:pPr>
              <w:pStyle w:val="52"/>
              <w:jc w:val="center"/>
              <w:rPr>
                <w:color w:val="FF0000"/>
              </w:rPr>
            </w:pPr>
            <w:r>
              <w:rPr>
                <w:color w:val="FF0000"/>
              </w:rPr>
              <w:t>药用</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8" w:hRule="atLeast"/>
          <w:jc w:val="center"/>
        </w:trPr>
        <w:tc>
          <w:tcPr>
            <w:tcW w:w="864" w:type="pct"/>
            <w:tcBorders>
              <w:tl2br w:val="nil"/>
              <w:tr2bl w:val="nil"/>
            </w:tcBorders>
            <w:vAlign w:val="center"/>
          </w:tcPr>
          <w:p>
            <w:pPr>
              <w:pStyle w:val="52"/>
              <w:jc w:val="center"/>
              <w:rPr>
                <w:color w:val="FF0000"/>
              </w:rPr>
            </w:pPr>
            <w:r>
              <w:rPr>
                <w:color w:val="FF0000"/>
              </w:rPr>
              <w:t>钝叶瓦松</w:t>
            </w:r>
          </w:p>
        </w:tc>
        <w:tc>
          <w:tcPr>
            <w:tcW w:w="2061" w:type="pct"/>
            <w:tcBorders>
              <w:tl2br w:val="nil"/>
              <w:tr2bl w:val="nil"/>
            </w:tcBorders>
            <w:vAlign w:val="center"/>
          </w:tcPr>
          <w:p>
            <w:pPr>
              <w:pStyle w:val="52"/>
              <w:jc w:val="center"/>
              <w:rPr>
                <w:color w:val="FF0000"/>
              </w:rPr>
            </w:pPr>
            <w:r>
              <w:rPr>
                <w:i/>
                <w:color w:val="FF0000"/>
              </w:rPr>
              <w:t>O.malacophyllus</w:t>
            </w:r>
            <w:r>
              <w:rPr>
                <w:color w:val="FF0000"/>
              </w:rPr>
              <w:t xml:space="preserve"> (Pall.) Fisch</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四、蔷薇科  Rosaceae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星毛萎陵菜</w:t>
            </w:r>
          </w:p>
        </w:tc>
        <w:tc>
          <w:tcPr>
            <w:tcW w:w="2061" w:type="pct"/>
            <w:tcBorders>
              <w:tl2br w:val="nil"/>
              <w:tr2bl w:val="nil"/>
            </w:tcBorders>
            <w:vAlign w:val="center"/>
          </w:tcPr>
          <w:p>
            <w:pPr>
              <w:pStyle w:val="52"/>
              <w:jc w:val="center"/>
              <w:rPr>
                <w:color w:val="FF0000"/>
              </w:rPr>
            </w:pPr>
            <w:r>
              <w:rPr>
                <w:i/>
                <w:color w:val="FF0000"/>
              </w:rPr>
              <w:t xml:space="preserve">Potentilla acaulis </w:t>
            </w:r>
            <w:r>
              <w:rPr>
                <w:color w:val="FF0000"/>
              </w:rPr>
              <w:t>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哈萨克-蒙古种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五、豆科  Leguminosae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乳白花黄芪</w:t>
            </w:r>
          </w:p>
        </w:tc>
        <w:tc>
          <w:tcPr>
            <w:tcW w:w="2061" w:type="pct"/>
            <w:tcBorders>
              <w:tl2br w:val="nil"/>
              <w:tr2bl w:val="nil"/>
            </w:tcBorders>
            <w:vAlign w:val="center"/>
          </w:tcPr>
          <w:p>
            <w:pPr>
              <w:pStyle w:val="52"/>
              <w:jc w:val="center"/>
              <w:rPr>
                <w:color w:val="FF0000"/>
              </w:rPr>
            </w:pPr>
            <w:r>
              <w:rPr>
                <w:i/>
                <w:color w:val="FF0000"/>
              </w:rPr>
              <w:t>Atragalus galactites</w:t>
            </w:r>
            <w:r>
              <w:rPr>
                <w:color w:val="FF0000"/>
              </w:rPr>
              <w:t xml:space="preserve"> Pall.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黄芪</w:t>
            </w:r>
          </w:p>
        </w:tc>
        <w:tc>
          <w:tcPr>
            <w:tcW w:w="2061" w:type="pct"/>
            <w:tcBorders>
              <w:tl2br w:val="nil"/>
              <w:tr2bl w:val="nil"/>
            </w:tcBorders>
            <w:vAlign w:val="center"/>
          </w:tcPr>
          <w:p>
            <w:pPr>
              <w:pStyle w:val="52"/>
              <w:jc w:val="center"/>
              <w:rPr>
                <w:color w:val="FF0000"/>
              </w:rPr>
            </w:pPr>
            <w:r>
              <w:rPr>
                <w:i/>
                <w:color w:val="FF0000"/>
              </w:rPr>
              <w:t xml:space="preserve">A. hoantchy </w:t>
            </w:r>
            <w:r>
              <w:rPr>
                <w:color w:val="FF0000"/>
              </w:rPr>
              <w:t>Franch.</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小叶锦鸡儿</w:t>
            </w:r>
          </w:p>
        </w:tc>
        <w:tc>
          <w:tcPr>
            <w:tcW w:w="2061" w:type="pct"/>
            <w:tcBorders>
              <w:tl2br w:val="nil"/>
              <w:tr2bl w:val="nil"/>
            </w:tcBorders>
            <w:vAlign w:val="center"/>
          </w:tcPr>
          <w:p>
            <w:pPr>
              <w:pStyle w:val="52"/>
              <w:jc w:val="center"/>
              <w:rPr>
                <w:color w:val="FF0000"/>
              </w:rPr>
            </w:pPr>
            <w:r>
              <w:rPr>
                <w:i/>
                <w:color w:val="FF0000"/>
              </w:rPr>
              <w:t>Caragana microphylla</w:t>
            </w:r>
            <w:r>
              <w:rPr>
                <w:color w:val="FF0000"/>
              </w:rPr>
              <w:t xml:space="preserve"> Lam.</w:t>
            </w:r>
          </w:p>
        </w:tc>
        <w:tc>
          <w:tcPr>
            <w:tcW w:w="1101" w:type="pct"/>
            <w:tcBorders>
              <w:tl2br w:val="nil"/>
              <w:tr2bl w:val="nil"/>
            </w:tcBorders>
            <w:vAlign w:val="center"/>
          </w:tcPr>
          <w:p>
            <w:pPr>
              <w:pStyle w:val="52"/>
              <w:jc w:val="center"/>
              <w:rPr>
                <w:color w:val="FF0000"/>
              </w:rPr>
            </w:pPr>
            <w:r>
              <w:rPr>
                <w:color w:val="FF0000"/>
              </w:rPr>
              <w:t>灌木</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扁蓿豆</w:t>
            </w:r>
          </w:p>
        </w:tc>
        <w:tc>
          <w:tcPr>
            <w:tcW w:w="2061" w:type="pct"/>
            <w:tcBorders>
              <w:tl2br w:val="nil"/>
              <w:tr2bl w:val="nil"/>
            </w:tcBorders>
            <w:vAlign w:val="center"/>
          </w:tcPr>
          <w:p>
            <w:pPr>
              <w:pStyle w:val="52"/>
              <w:jc w:val="center"/>
              <w:rPr>
                <w:color w:val="FF0000"/>
              </w:rPr>
            </w:pPr>
            <w:r>
              <w:rPr>
                <w:i/>
                <w:color w:val="FF0000"/>
              </w:rPr>
              <w:t>Melissius ruthenica(L.)</w:t>
            </w:r>
            <w:r>
              <w:rPr>
                <w:color w:val="FF0000"/>
              </w:rPr>
              <w:t>Peschkova</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六、远志科  Plyglaceae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细叶远志</w:t>
            </w:r>
          </w:p>
        </w:tc>
        <w:tc>
          <w:tcPr>
            <w:tcW w:w="2061" w:type="pct"/>
            <w:tcBorders>
              <w:tl2br w:val="nil"/>
              <w:tr2bl w:val="nil"/>
            </w:tcBorders>
            <w:vAlign w:val="center"/>
          </w:tcPr>
          <w:p>
            <w:pPr>
              <w:pStyle w:val="52"/>
              <w:jc w:val="center"/>
              <w:rPr>
                <w:color w:val="FF0000"/>
              </w:rPr>
            </w:pPr>
            <w:r>
              <w:rPr>
                <w:i/>
                <w:color w:val="FF0000"/>
              </w:rPr>
              <w:t>Polygala tenuifolia</w:t>
            </w:r>
            <w:r>
              <w:rPr>
                <w:color w:val="FF0000"/>
              </w:rPr>
              <w:t xml:space="preserve"> Willd.</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七、大戟科  Euphorbiaceae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乳桨大戟</w:t>
            </w:r>
          </w:p>
        </w:tc>
        <w:tc>
          <w:tcPr>
            <w:tcW w:w="2061" w:type="pct"/>
            <w:tcBorders>
              <w:tl2br w:val="nil"/>
              <w:tr2bl w:val="nil"/>
            </w:tcBorders>
            <w:vAlign w:val="center"/>
          </w:tcPr>
          <w:p>
            <w:pPr>
              <w:pStyle w:val="52"/>
              <w:jc w:val="center"/>
              <w:rPr>
                <w:color w:val="FF0000"/>
              </w:rPr>
            </w:pPr>
            <w:r>
              <w:rPr>
                <w:i/>
                <w:color w:val="FF0000"/>
              </w:rPr>
              <w:t>Euphorbia esula</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泛北极种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八、瑞香科  Thymelacaceae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狼毒</w:t>
            </w:r>
          </w:p>
        </w:tc>
        <w:tc>
          <w:tcPr>
            <w:tcW w:w="2061" w:type="pct"/>
            <w:tcBorders>
              <w:tl2br w:val="nil"/>
              <w:tr2bl w:val="nil"/>
            </w:tcBorders>
            <w:vAlign w:val="center"/>
          </w:tcPr>
          <w:p>
            <w:pPr>
              <w:pStyle w:val="52"/>
              <w:jc w:val="center"/>
              <w:rPr>
                <w:color w:val="FF0000"/>
              </w:rPr>
            </w:pPr>
            <w:r>
              <w:rPr>
                <w:color w:val="FF0000"/>
              </w:rPr>
              <w:t>Stellera chamai jasme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九、伞形科  Umbelliferae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狭叶柴胡</w:t>
            </w:r>
          </w:p>
        </w:tc>
        <w:tc>
          <w:tcPr>
            <w:tcW w:w="2061" w:type="pct"/>
            <w:tcBorders>
              <w:tl2br w:val="nil"/>
              <w:tr2bl w:val="nil"/>
            </w:tcBorders>
            <w:vAlign w:val="center"/>
          </w:tcPr>
          <w:p>
            <w:pPr>
              <w:pStyle w:val="52"/>
              <w:jc w:val="center"/>
              <w:rPr>
                <w:color w:val="FF0000"/>
              </w:rPr>
            </w:pPr>
            <w:r>
              <w:rPr>
                <w:i/>
                <w:color w:val="FF0000"/>
              </w:rPr>
              <w:t>Bupleurum Scorzonerifolium</w:t>
            </w:r>
            <w:r>
              <w:rPr>
                <w:color w:val="FF0000"/>
              </w:rPr>
              <w:t xml:space="preserve"> Willd</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防风</w:t>
            </w:r>
          </w:p>
        </w:tc>
        <w:tc>
          <w:tcPr>
            <w:tcW w:w="2061" w:type="pct"/>
            <w:tcBorders>
              <w:tl2br w:val="nil"/>
              <w:tr2bl w:val="nil"/>
            </w:tcBorders>
            <w:vAlign w:val="center"/>
          </w:tcPr>
          <w:p>
            <w:pPr>
              <w:pStyle w:val="52"/>
              <w:jc w:val="center"/>
              <w:rPr>
                <w:color w:val="FF0000"/>
              </w:rPr>
            </w:pPr>
            <w:r>
              <w:rPr>
                <w:i/>
                <w:color w:val="FF0000"/>
              </w:rPr>
              <w:t>Saposhnikovia Divaricta(Turcz.)</w:t>
            </w:r>
            <w:r>
              <w:rPr>
                <w:color w:val="FF0000"/>
              </w:rPr>
              <w:t xml:space="preserve"> Schischk.</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十、唇形科  Labiatae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蒙古糙苏</w:t>
            </w:r>
          </w:p>
        </w:tc>
        <w:tc>
          <w:tcPr>
            <w:tcW w:w="2061" w:type="pct"/>
            <w:tcBorders>
              <w:tl2br w:val="nil"/>
              <w:tr2bl w:val="nil"/>
            </w:tcBorders>
            <w:vAlign w:val="center"/>
          </w:tcPr>
          <w:p>
            <w:pPr>
              <w:pStyle w:val="52"/>
              <w:jc w:val="center"/>
              <w:rPr>
                <w:color w:val="FF0000"/>
              </w:rPr>
            </w:pPr>
            <w:r>
              <w:rPr>
                <w:i/>
                <w:color w:val="FF0000"/>
              </w:rPr>
              <w:t>Phlomis mongolica</w:t>
            </w:r>
            <w:r>
              <w:rPr>
                <w:color w:val="FF0000"/>
              </w:rPr>
              <w:t xml:space="preserve"> Turcz.</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裂叶荆芥</w:t>
            </w:r>
          </w:p>
        </w:tc>
        <w:tc>
          <w:tcPr>
            <w:tcW w:w="2061" w:type="pct"/>
            <w:tcBorders>
              <w:tl2br w:val="nil"/>
              <w:tr2bl w:val="nil"/>
            </w:tcBorders>
            <w:vAlign w:val="center"/>
          </w:tcPr>
          <w:p>
            <w:pPr>
              <w:pStyle w:val="52"/>
              <w:jc w:val="center"/>
              <w:rPr>
                <w:color w:val="FF0000"/>
              </w:rPr>
            </w:pPr>
            <w:r>
              <w:rPr>
                <w:i/>
                <w:color w:val="FF0000"/>
              </w:rPr>
              <w:t>Schizonepeta multifid</w:t>
            </w:r>
            <w:r>
              <w:rPr>
                <w:color w:val="FF0000"/>
              </w:rPr>
              <w:t>a(L.)Briq.</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并头黄芩</w:t>
            </w:r>
          </w:p>
        </w:tc>
        <w:tc>
          <w:tcPr>
            <w:tcW w:w="2061" w:type="pct"/>
            <w:tcBorders>
              <w:tl2br w:val="nil"/>
              <w:tr2bl w:val="nil"/>
            </w:tcBorders>
            <w:vAlign w:val="center"/>
          </w:tcPr>
          <w:p>
            <w:pPr>
              <w:pStyle w:val="52"/>
              <w:jc w:val="center"/>
              <w:rPr>
                <w:color w:val="FF0000"/>
              </w:rPr>
            </w:pPr>
            <w:r>
              <w:rPr>
                <w:i/>
                <w:color w:val="FF0000"/>
              </w:rPr>
              <w:t>Sutellaria scordiifolia</w:t>
            </w:r>
            <w:r>
              <w:rPr>
                <w:color w:val="FF0000"/>
              </w:rPr>
              <w:t xml:space="preserve"> Fisch.ex Schrank</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百里香</w:t>
            </w:r>
          </w:p>
        </w:tc>
        <w:tc>
          <w:tcPr>
            <w:tcW w:w="2061" w:type="pct"/>
            <w:tcBorders>
              <w:tl2br w:val="nil"/>
              <w:tr2bl w:val="nil"/>
            </w:tcBorders>
            <w:vAlign w:val="center"/>
          </w:tcPr>
          <w:p>
            <w:pPr>
              <w:pStyle w:val="52"/>
              <w:jc w:val="center"/>
              <w:rPr>
                <w:color w:val="FF0000"/>
              </w:rPr>
            </w:pPr>
            <w:r>
              <w:rPr>
                <w:i/>
                <w:color w:val="FF0000"/>
              </w:rPr>
              <w:t xml:space="preserve">Thymus Kitagawianus </w:t>
            </w:r>
            <w:r>
              <w:rPr>
                <w:color w:val="FF0000"/>
              </w:rPr>
              <w:t>Tschern</w:t>
            </w:r>
          </w:p>
        </w:tc>
        <w:tc>
          <w:tcPr>
            <w:tcW w:w="1101" w:type="pct"/>
            <w:tcBorders>
              <w:tl2br w:val="nil"/>
              <w:tr2bl w:val="nil"/>
            </w:tcBorders>
            <w:vAlign w:val="center"/>
          </w:tcPr>
          <w:p>
            <w:pPr>
              <w:pStyle w:val="52"/>
              <w:jc w:val="center"/>
              <w:rPr>
                <w:color w:val="FF0000"/>
              </w:rPr>
            </w:pPr>
            <w:r>
              <w:rPr>
                <w:color w:val="FF0000"/>
              </w:rPr>
              <w:t>小半灌木</w:t>
            </w:r>
          </w:p>
        </w:tc>
        <w:tc>
          <w:tcPr>
            <w:tcW w:w="974" w:type="pct"/>
            <w:tcBorders>
              <w:tl2br w:val="nil"/>
              <w:tr2bl w:val="nil"/>
            </w:tcBorders>
            <w:vAlign w:val="center"/>
          </w:tcPr>
          <w:p>
            <w:pPr>
              <w:pStyle w:val="52"/>
              <w:jc w:val="center"/>
              <w:rPr>
                <w:color w:val="FF0000"/>
              </w:rPr>
            </w:pPr>
            <w:r>
              <w:rPr>
                <w:color w:val="FF0000"/>
              </w:rPr>
              <w:t>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十一、菊科  Compositae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黄花蒿</w:t>
            </w:r>
          </w:p>
        </w:tc>
        <w:tc>
          <w:tcPr>
            <w:tcW w:w="2061" w:type="pct"/>
            <w:tcBorders>
              <w:tl2br w:val="nil"/>
              <w:tr2bl w:val="nil"/>
            </w:tcBorders>
            <w:vAlign w:val="center"/>
          </w:tcPr>
          <w:p>
            <w:pPr>
              <w:pStyle w:val="52"/>
              <w:jc w:val="center"/>
              <w:rPr>
                <w:color w:val="FF0000"/>
              </w:rPr>
            </w:pPr>
            <w:r>
              <w:rPr>
                <w:i/>
                <w:color w:val="FF0000"/>
              </w:rPr>
              <w:t>Artemisia anuna</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r>
              <w:rPr>
                <w:color w:val="FF0000"/>
              </w:rPr>
              <w:t>泛北极种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变 蒿</w:t>
            </w:r>
          </w:p>
        </w:tc>
        <w:tc>
          <w:tcPr>
            <w:tcW w:w="2061" w:type="pct"/>
            <w:tcBorders>
              <w:tl2br w:val="nil"/>
              <w:tr2bl w:val="nil"/>
            </w:tcBorders>
            <w:vAlign w:val="center"/>
          </w:tcPr>
          <w:p>
            <w:pPr>
              <w:pStyle w:val="52"/>
              <w:jc w:val="center"/>
              <w:rPr>
                <w:color w:val="FF0000"/>
              </w:rPr>
            </w:pPr>
            <w:r>
              <w:rPr>
                <w:i/>
                <w:color w:val="FF0000"/>
              </w:rPr>
              <w:t>A. commutata</w:t>
            </w:r>
            <w:r>
              <w:rPr>
                <w:color w:val="FF0000"/>
              </w:rPr>
              <w:t xml:space="preserve"> Bess.</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冷蒿</w:t>
            </w:r>
          </w:p>
        </w:tc>
        <w:tc>
          <w:tcPr>
            <w:tcW w:w="2061" w:type="pct"/>
            <w:tcBorders>
              <w:tl2br w:val="nil"/>
              <w:tr2bl w:val="nil"/>
            </w:tcBorders>
            <w:vAlign w:val="center"/>
          </w:tcPr>
          <w:p>
            <w:pPr>
              <w:pStyle w:val="52"/>
              <w:jc w:val="center"/>
              <w:rPr>
                <w:color w:val="FF0000"/>
              </w:rPr>
            </w:pPr>
            <w:r>
              <w:rPr>
                <w:i/>
                <w:color w:val="FF0000"/>
              </w:rPr>
              <w:t>A. frigida</w:t>
            </w:r>
            <w:r>
              <w:rPr>
                <w:color w:val="FF0000"/>
              </w:rPr>
              <w:t xml:space="preserve"> Willd.</w:t>
            </w:r>
          </w:p>
        </w:tc>
        <w:tc>
          <w:tcPr>
            <w:tcW w:w="1101" w:type="pct"/>
            <w:tcBorders>
              <w:tl2br w:val="nil"/>
              <w:tr2bl w:val="nil"/>
            </w:tcBorders>
            <w:vAlign w:val="center"/>
          </w:tcPr>
          <w:p>
            <w:pPr>
              <w:pStyle w:val="52"/>
              <w:jc w:val="center"/>
              <w:rPr>
                <w:color w:val="FF0000"/>
              </w:rPr>
            </w:pPr>
            <w:r>
              <w:rPr>
                <w:color w:val="FF0000"/>
              </w:rPr>
              <w:t>小半灌木</w:t>
            </w:r>
          </w:p>
        </w:tc>
        <w:tc>
          <w:tcPr>
            <w:tcW w:w="974" w:type="pct"/>
            <w:tcBorders>
              <w:tl2br w:val="nil"/>
              <w:tr2bl w:val="nil"/>
            </w:tcBorders>
            <w:vAlign w:val="center"/>
          </w:tcPr>
          <w:p>
            <w:pPr>
              <w:pStyle w:val="52"/>
              <w:jc w:val="center"/>
              <w:rPr>
                <w:color w:val="FF0000"/>
              </w:rPr>
            </w:pPr>
            <w:r>
              <w:rPr>
                <w:color w:val="FF0000"/>
              </w:rPr>
              <w:t>泛北极种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阿尔泰狗娃花</w:t>
            </w:r>
          </w:p>
        </w:tc>
        <w:tc>
          <w:tcPr>
            <w:tcW w:w="2061" w:type="pct"/>
            <w:tcBorders>
              <w:tl2br w:val="nil"/>
              <w:tr2bl w:val="nil"/>
            </w:tcBorders>
            <w:vAlign w:val="center"/>
          </w:tcPr>
          <w:p>
            <w:pPr>
              <w:pStyle w:val="52"/>
              <w:jc w:val="center"/>
              <w:rPr>
                <w:color w:val="FF0000"/>
              </w:rPr>
            </w:pPr>
            <w:r>
              <w:rPr>
                <w:i/>
                <w:color w:val="FF0000"/>
              </w:rPr>
              <w:t>Heteropappus altuicus(Wild.)</w:t>
            </w:r>
            <w:r>
              <w:rPr>
                <w:color w:val="FF0000"/>
              </w:rPr>
              <w:t xml:space="preserve"> Beauv</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东北古极种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麻花头</w:t>
            </w:r>
          </w:p>
        </w:tc>
        <w:tc>
          <w:tcPr>
            <w:tcW w:w="2061" w:type="pct"/>
            <w:tcBorders>
              <w:tl2br w:val="nil"/>
              <w:tr2bl w:val="nil"/>
            </w:tcBorders>
            <w:vAlign w:val="center"/>
          </w:tcPr>
          <w:p>
            <w:pPr>
              <w:pStyle w:val="52"/>
              <w:jc w:val="center"/>
              <w:rPr>
                <w:color w:val="FF0000"/>
              </w:rPr>
            </w:pPr>
            <w:r>
              <w:rPr>
                <w:i/>
                <w:color w:val="FF0000"/>
              </w:rPr>
              <w:t>Serratula centaurlides</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苍耳</w:t>
            </w:r>
          </w:p>
        </w:tc>
        <w:tc>
          <w:tcPr>
            <w:tcW w:w="2061" w:type="pct"/>
            <w:tcBorders>
              <w:tl2br w:val="nil"/>
              <w:tr2bl w:val="nil"/>
            </w:tcBorders>
            <w:vAlign w:val="center"/>
          </w:tcPr>
          <w:p>
            <w:pPr>
              <w:pStyle w:val="52"/>
              <w:jc w:val="center"/>
              <w:rPr>
                <w:color w:val="FF0000"/>
              </w:rPr>
            </w:pPr>
            <w:r>
              <w:rPr>
                <w:i/>
                <w:color w:val="FF0000"/>
              </w:rPr>
              <w:t>Xanthium sibiricum</w:t>
            </w:r>
            <w:r>
              <w:rPr>
                <w:color w:val="FF0000"/>
              </w:rPr>
              <w:t xml:space="preserve"> Patrin,ex willer.</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r>
              <w:rPr>
                <w:color w:val="FF0000"/>
              </w:rPr>
              <w:t>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十二、禾本科  Graminae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芨芨草</w:t>
            </w:r>
          </w:p>
        </w:tc>
        <w:tc>
          <w:tcPr>
            <w:tcW w:w="2061" w:type="pct"/>
            <w:tcBorders>
              <w:tl2br w:val="nil"/>
              <w:tr2bl w:val="nil"/>
            </w:tcBorders>
            <w:vAlign w:val="center"/>
          </w:tcPr>
          <w:p>
            <w:pPr>
              <w:pStyle w:val="52"/>
              <w:jc w:val="center"/>
              <w:rPr>
                <w:color w:val="FF0000"/>
              </w:rPr>
            </w:pPr>
            <w:r>
              <w:rPr>
                <w:i/>
                <w:color w:val="FF0000"/>
              </w:rPr>
              <w:t>Achnatherum Splendens</w:t>
            </w:r>
            <w:r>
              <w:rPr>
                <w:color w:val="FF0000"/>
              </w:rPr>
              <w:t>(Trin)Nevski</w:t>
            </w:r>
          </w:p>
        </w:tc>
        <w:tc>
          <w:tcPr>
            <w:tcW w:w="1101" w:type="pct"/>
            <w:tcBorders>
              <w:tl2br w:val="nil"/>
              <w:tr2bl w:val="nil"/>
            </w:tcBorders>
            <w:vAlign w:val="center"/>
          </w:tcPr>
          <w:p>
            <w:pPr>
              <w:pStyle w:val="52"/>
              <w:jc w:val="center"/>
              <w:rPr>
                <w:color w:val="FF0000"/>
              </w:rPr>
            </w:pPr>
            <w:r>
              <w:rPr>
                <w:color w:val="FF0000"/>
              </w:rPr>
              <w:t>多年生大型丛生禾</w:t>
            </w:r>
          </w:p>
        </w:tc>
        <w:tc>
          <w:tcPr>
            <w:tcW w:w="974" w:type="pct"/>
            <w:tcBorders>
              <w:tl2br w:val="nil"/>
              <w:tr2bl w:val="nil"/>
            </w:tcBorders>
            <w:vAlign w:val="center"/>
          </w:tcPr>
          <w:p>
            <w:pPr>
              <w:pStyle w:val="52"/>
              <w:jc w:val="center"/>
              <w:rPr>
                <w:color w:val="FF0000"/>
              </w:rPr>
            </w:pPr>
            <w:r>
              <w:rPr>
                <w:color w:val="FF0000"/>
              </w:rPr>
              <w:t>古地中海种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冰草</w:t>
            </w:r>
          </w:p>
        </w:tc>
        <w:tc>
          <w:tcPr>
            <w:tcW w:w="2061" w:type="pct"/>
            <w:tcBorders>
              <w:tl2br w:val="nil"/>
              <w:tr2bl w:val="nil"/>
            </w:tcBorders>
            <w:vAlign w:val="center"/>
          </w:tcPr>
          <w:p>
            <w:pPr>
              <w:pStyle w:val="52"/>
              <w:jc w:val="center"/>
              <w:rPr>
                <w:color w:val="FF0000"/>
              </w:rPr>
            </w:pPr>
            <w:r>
              <w:rPr>
                <w:i/>
                <w:color w:val="FF0000"/>
              </w:rPr>
              <w:t>Agropyron cristatum</w:t>
            </w:r>
            <w:r>
              <w:rPr>
                <w:color w:val="FF0000"/>
              </w:rPr>
              <w:t>(L.)Gaertn</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糙隐子草</w:t>
            </w:r>
          </w:p>
        </w:tc>
        <w:tc>
          <w:tcPr>
            <w:tcW w:w="2061" w:type="pct"/>
            <w:tcBorders>
              <w:tl2br w:val="nil"/>
              <w:tr2bl w:val="nil"/>
            </w:tcBorders>
            <w:vAlign w:val="center"/>
          </w:tcPr>
          <w:p>
            <w:pPr>
              <w:pStyle w:val="52"/>
              <w:jc w:val="center"/>
              <w:rPr>
                <w:color w:val="FF0000"/>
              </w:rPr>
            </w:pPr>
            <w:r>
              <w:rPr>
                <w:i/>
                <w:color w:val="FF0000"/>
              </w:rPr>
              <w:t xml:space="preserve">Cleistogenes kitagawae </w:t>
            </w:r>
            <w:r>
              <w:rPr>
                <w:color w:val="FF0000"/>
              </w:rPr>
              <w:t>Handa</w:t>
            </w:r>
          </w:p>
        </w:tc>
        <w:tc>
          <w:tcPr>
            <w:tcW w:w="1101" w:type="pct"/>
            <w:tcBorders>
              <w:tl2br w:val="nil"/>
              <w:tr2bl w:val="nil"/>
            </w:tcBorders>
            <w:vAlign w:val="center"/>
          </w:tcPr>
          <w:p>
            <w:pPr>
              <w:pStyle w:val="52"/>
              <w:jc w:val="center"/>
              <w:rPr>
                <w:color w:val="FF0000"/>
              </w:rPr>
            </w:pPr>
            <w:r>
              <w:rPr>
                <w:color w:val="FF0000"/>
              </w:rPr>
              <w:t>多样生丛生禾草</w:t>
            </w:r>
          </w:p>
        </w:tc>
        <w:tc>
          <w:tcPr>
            <w:tcW w:w="974" w:type="pct"/>
            <w:tcBorders>
              <w:tl2br w:val="nil"/>
              <w:tr2bl w:val="nil"/>
            </w:tcBorders>
            <w:vAlign w:val="center"/>
          </w:tcPr>
          <w:p>
            <w:pPr>
              <w:pStyle w:val="52"/>
              <w:jc w:val="center"/>
              <w:rPr>
                <w:color w:val="FF0000"/>
              </w:rPr>
            </w:pPr>
            <w:r>
              <w:rPr>
                <w:color w:val="FF0000"/>
              </w:rPr>
              <w:t>黑海-哈萨克-蒙古种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无芒隐子草</w:t>
            </w:r>
          </w:p>
        </w:tc>
        <w:tc>
          <w:tcPr>
            <w:tcW w:w="2061" w:type="pct"/>
            <w:tcBorders>
              <w:tl2br w:val="nil"/>
              <w:tr2bl w:val="nil"/>
            </w:tcBorders>
            <w:vAlign w:val="center"/>
          </w:tcPr>
          <w:p>
            <w:pPr>
              <w:pStyle w:val="52"/>
              <w:jc w:val="center"/>
              <w:rPr>
                <w:i/>
                <w:color w:val="FF0000"/>
              </w:rPr>
            </w:pPr>
            <w:r>
              <w:rPr>
                <w:i/>
                <w:color w:val="FF0000"/>
              </w:rPr>
              <w:t>Gramineae</w:t>
            </w:r>
          </w:p>
        </w:tc>
        <w:tc>
          <w:tcPr>
            <w:tcW w:w="1101" w:type="pct"/>
            <w:tcBorders>
              <w:tl2br w:val="nil"/>
              <w:tr2bl w:val="nil"/>
            </w:tcBorders>
            <w:vAlign w:val="center"/>
          </w:tcPr>
          <w:p>
            <w:pPr>
              <w:pStyle w:val="52"/>
              <w:jc w:val="center"/>
              <w:rPr>
                <w:color w:val="FF0000"/>
              </w:rPr>
            </w:pPr>
            <w:r>
              <w:rPr>
                <w:color w:val="FF0000"/>
              </w:rPr>
              <w:t>多样生丛生禾草</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碱茅</w:t>
            </w:r>
          </w:p>
        </w:tc>
        <w:tc>
          <w:tcPr>
            <w:tcW w:w="2061" w:type="pct"/>
            <w:tcBorders>
              <w:tl2br w:val="nil"/>
              <w:tr2bl w:val="nil"/>
            </w:tcBorders>
            <w:vAlign w:val="center"/>
          </w:tcPr>
          <w:p>
            <w:pPr>
              <w:pStyle w:val="52"/>
              <w:jc w:val="center"/>
              <w:rPr>
                <w:color w:val="FF0000"/>
              </w:rPr>
            </w:pPr>
            <w:r>
              <w:rPr>
                <w:i/>
                <w:color w:val="FF0000"/>
              </w:rPr>
              <w:t>Puccinellia distans</w:t>
            </w:r>
            <w:r>
              <w:rPr>
                <w:color w:val="FF0000"/>
              </w:rPr>
              <w:t>(Jacp)Parl.</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狗尾草</w:t>
            </w:r>
          </w:p>
        </w:tc>
        <w:tc>
          <w:tcPr>
            <w:tcW w:w="2061" w:type="pct"/>
            <w:tcBorders>
              <w:tl2br w:val="nil"/>
              <w:tr2bl w:val="nil"/>
            </w:tcBorders>
            <w:vAlign w:val="center"/>
          </w:tcPr>
          <w:p>
            <w:pPr>
              <w:pStyle w:val="52"/>
              <w:jc w:val="center"/>
              <w:rPr>
                <w:color w:val="FF0000"/>
              </w:rPr>
            </w:pPr>
            <w:r>
              <w:rPr>
                <w:i/>
                <w:color w:val="FF0000"/>
              </w:rPr>
              <w:t>Setaria viridi</w:t>
            </w:r>
            <w:r>
              <w:rPr>
                <w:color w:val="FF0000"/>
              </w:rPr>
              <w:t>s(L.)Beauv.</w:t>
            </w:r>
          </w:p>
        </w:tc>
        <w:tc>
          <w:tcPr>
            <w:tcW w:w="1101" w:type="pct"/>
            <w:tcBorders>
              <w:tl2br w:val="nil"/>
              <w:tr2bl w:val="nil"/>
            </w:tcBorders>
            <w:vAlign w:val="center"/>
          </w:tcPr>
          <w:p>
            <w:pPr>
              <w:pStyle w:val="52"/>
              <w:jc w:val="center"/>
              <w:rPr>
                <w:color w:val="FF0000"/>
              </w:rPr>
            </w:pPr>
            <w:r>
              <w:rPr>
                <w:color w:val="FF0000"/>
              </w:rPr>
              <w:t>一年生禾草</w:t>
            </w:r>
          </w:p>
        </w:tc>
        <w:tc>
          <w:tcPr>
            <w:tcW w:w="974" w:type="pct"/>
            <w:tcBorders>
              <w:tl2br w:val="nil"/>
              <w:tr2bl w:val="nil"/>
            </w:tcBorders>
            <w:vAlign w:val="center"/>
          </w:tcPr>
          <w:p>
            <w:pPr>
              <w:pStyle w:val="52"/>
              <w:jc w:val="center"/>
              <w:rPr>
                <w:color w:val="FF0000"/>
              </w:rPr>
            </w:pPr>
            <w:r>
              <w:rPr>
                <w:color w:val="FF0000"/>
              </w:rPr>
              <w:t>世界种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克氏针茅</w:t>
            </w:r>
          </w:p>
        </w:tc>
        <w:tc>
          <w:tcPr>
            <w:tcW w:w="2061" w:type="pct"/>
            <w:tcBorders>
              <w:tl2br w:val="nil"/>
              <w:tr2bl w:val="nil"/>
            </w:tcBorders>
            <w:vAlign w:val="center"/>
          </w:tcPr>
          <w:p>
            <w:pPr>
              <w:pStyle w:val="52"/>
              <w:jc w:val="center"/>
              <w:rPr>
                <w:color w:val="FF0000"/>
              </w:rPr>
            </w:pPr>
            <w:r>
              <w:rPr>
                <w:i/>
                <w:color w:val="FF0000"/>
              </w:rPr>
              <w:t xml:space="preserve">Stipa krylovii </w:t>
            </w:r>
            <w:r>
              <w:rPr>
                <w:color w:val="FF0000"/>
              </w:rPr>
              <w:t>Roshev.</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短花针茅</w:t>
            </w:r>
          </w:p>
        </w:tc>
        <w:tc>
          <w:tcPr>
            <w:tcW w:w="2061" w:type="pct"/>
            <w:tcBorders>
              <w:tl2br w:val="nil"/>
              <w:tr2bl w:val="nil"/>
            </w:tcBorders>
            <w:vAlign w:val="center"/>
          </w:tcPr>
          <w:p>
            <w:pPr>
              <w:pStyle w:val="52"/>
              <w:jc w:val="center"/>
              <w:rPr>
                <w:i/>
                <w:color w:val="FF0000"/>
              </w:rPr>
            </w:pPr>
            <w:r>
              <w:rPr>
                <w:i/>
                <w:color w:val="FF0000"/>
              </w:rPr>
              <w:t>Stipa breviflora</w:t>
            </w:r>
            <w:r>
              <w:rPr>
                <w:color w:val="FF0000"/>
              </w:rPr>
              <w:t xml:space="preserve"> Griseb.</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小针茅</w:t>
            </w:r>
          </w:p>
        </w:tc>
        <w:tc>
          <w:tcPr>
            <w:tcW w:w="2061" w:type="pct"/>
            <w:tcBorders>
              <w:tl2br w:val="nil"/>
              <w:tr2bl w:val="nil"/>
            </w:tcBorders>
            <w:vAlign w:val="center"/>
          </w:tcPr>
          <w:p>
            <w:pPr>
              <w:pStyle w:val="52"/>
              <w:jc w:val="center"/>
              <w:rPr>
                <w:i/>
                <w:color w:val="FF0000"/>
              </w:rPr>
            </w:pPr>
            <w:r>
              <w:rPr>
                <w:bCs/>
                <w:i/>
                <w:color w:val="FF0000"/>
              </w:rPr>
              <w:t>Stipa klemenzii</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十三、百合科  Liliaceae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野韭</w:t>
            </w:r>
          </w:p>
        </w:tc>
        <w:tc>
          <w:tcPr>
            <w:tcW w:w="2061" w:type="pct"/>
            <w:tcBorders>
              <w:tl2br w:val="nil"/>
              <w:tr2bl w:val="nil"/>
            </w:tcBorders>
            <w:vAlign w:val="center"/>
          </w:tcPr>
          <w:p>
            <w:pPr>
              <w:pStyle w:val="52"/>
              <w:jc w:val="center"/>
              <w:rPr>
                <w:color w:val="FF0000"/>
              </w:rPr>
            </w:pPr>
            <w:r>
              <w:rPr>
                <w:i/>
                <w:color w:val="FF0000"/>
              </w:rPr>
              <w:t>A. ramosum</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多根葱</w:t>
            </w:r>
          </w:p>
        </w:tc>
        <w:tc>
          <w:tcPr>
            <w:tcW w:w="2061" w:type="pct"/>
            <w:tcBorders>
              <w:tl2br w:val="nil"/>
              <w:tr2bl w:val="nil"/>
            </w:tcBorders>
            <w:vAlign w:val="center"/>
          </w:tcPr>
          <w:p>
            <w:pPr>
              <w:pStyle w:val="52"/>
              <w:jc w:val="center"/>
              <w:rPr>
                <w:i/>
                <w:color w:val="FF0000"/>
              </w:rPr>
            </w:pPr>
            <w:r>
              <w:rPr>
                <w:i/>
                <w:color w:val="FF0000"/>
              </w:rPr>
              <w:t>Liliaceae</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w:t>
      </w:r>
      <w:r>
        <w:rPr>
          <w:rFonts w:hint="eastAsia" w:eastAsia="宋体"/>
          <w:color w:val="auto"/>
          <w:highlight w:val="none"/>
          <w:lang w:val="en-US" w:eastAsia="zh-CN"/>
        </w:rPr>
        <w:t>2</w:t>
      </w:r>
      <w:r>
        <w:rPr>
          <w:rFonts w:hint="eastAsia" w:eastAsia="宋体"/>
          <w:color w:val="auto"/>
          <w:highlight w:val="none"/>
          <w:lang w:eastAsia="zh-CN"/>
        </w:rPr>
        <w:t>）评价区及周边样方调查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本项目对评价区内的生态植被进行了现场样方调查，调查过程中选取典型生境主要为</w:t>
      </w:r>
      <w:r>
        <w:rPr>
          <w:rFonts w:hint="eastAsia" w:eastAsia="宋体"/>
          <w:color w:val="auto"/>
          <w:highlight w:val="none"/>
          <w:lang w:val="en-US" w:eastAsia="zh-CN"/>
        </w:rPr>
        <w:t>草地制备</w:t>
      </w:r>
      <w:r>
        <w:rPr>
          <w:rFonts w:hint="eastAsia" w:eastAsia="宋体"/>
          <w:color w:val="auto"/>
          <w:highlight w:val="none"/>
          <w:lang w:eastAsia="zh-CN"/>
        </w:rPr>
        <w:t>。草本植物样方调查：设置1m×1m的草本植被样方，记录该样方的坐标、植物种名称、株数、平均高、丛幅、盖度等信息。灌木样方调查：设置5m×5m灌木样方，记录该样方的GPS坐标、植物种名称、株数、平均高、丛幅等信息。调查和收集到的植物样方表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①</w:t>
      </w:r>
      <w:r>
        <w:rPr>
          <w:rFonts w:hint="eastAsia" w:eastAsia="宋体"/>
          <w:color w:val="FF0000"/>
          <w:highlight w:val="none"/>
          <w:lang w:eastAsia="zh-CN"/>
        </w:rPr>
        <w:t>样方1结果统计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样方1位于</w:t>
      </w:r>
      <w:r>
        <w:rPr>
          <w:rFonts w:hint="eastAsia" w:eastAsia="宋体"/>
          <w:color w:val="FF0000"/>
          <w:highlight w:val="none"/>
          <w:lang w:val="en-US" w:eastAsia="zh-CN"/>
        </w:rPr>
        <w:t>采场北</w:t>
      </w:r>
      <w:r>
        <w:rPr>
          <w:rFonts w:hint="eastAsia" w:eastAsia="宋体"/>
          <w:color w:val="FF0000"/>
          <w:highlight w:val="none"/>
          <w:lang w:eastAsia="zh-CN"/>
        </w:rPr>
        <w:t>侧，海拔为</w:t>
      </w:r>
      <w:r>
        <w:rPr>
          <w:rFonts w:hint="eastAsia" w:eastAsia="宋体"/>
          <w:color w:val="FF0000"/>
          <w:highlight w:val="none"/>
          <w:lang w:val="en-US" w:eastAsia="zh-CN"/>
        </w:rPr>
        <w:t>1149</w:t>
      </w:r>
      <w:r>
        <w:rPr>
          <w:rFonts w:hint="eastAsia" w:eastAsia="宋体"/>
          <w:color w:val="FF0000"/>
          <w:highlight w:val="none"/>
          <w:lang w:eastAsia="zh-CN"/>
        </w:rPr>
        <w:t>m。主要群落类型为草本植物，主要植被为</w:t>
      </w:r>
      <w:r>
        <w:rPr>
          <w:rFonts w:hint="eastAsia" w:eastAsia="宋体"/>
          <w:color w:val="FF0000"/>
          <w:highlight w:val="none"/>
          <w:lang w:val="en-US" w:eastAsia="zh-CN"/>
        </w:rPr>
        <w:t>小针茅</w:t>
      </w:r>
      <w:r>
        <w:rPr>
          <w:rFonts w:hint="eastAsia" w:eastAsia="宋体"/>
          <w:color w:val="FF0000"/>
          <w:highlight w:val="none"/>
          <w:lang w:eastAsia="zh-CN"/>
        </w:rPr>
        <w:t>。样方数据详见表</w:t>
      </w:r>
      <w:r>
        <w:rPr>
          <w:rFonts w:hint="eastAsia" w:eastAsia="宋体"/>
          <w:color w:val="FF0000"/>
          <w:highlight w:val="none"/>
          <w:lang w:val="en-US" w:eastAsia="zh-CN"/>
        </w:rPr>
        <w:t>4.2-12</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4.2-12</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1调查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 xml:space="preserve">样地名称：草本 </w:t>
            </w:r>
            <w:r>
              <w:rPr>
                <w:color w:val="FF0000"/>
              </w:rPr>
              <w:t xml:space="preserve">                 </w:t>
            </w:r>
            <w:r>
              <w:rPr>
                <w:rFonts w:hint="eastAsia"/>
                <w:color w:val="FF0000"/>
              </w:rPr>
              <w:t>样方号：</w:t>
            </w:r>
            <w:r>
              <w:rPr>
                <w:rFonts w:hint="eastAsia"/>
                <w:color w:val="FF0000"/>
                <w:lang w:val="en-US" w:eastAsia="zh-CN"/>
              </w:rPr>
              <w:t>1</w:t>
            </w:r>
            <w:r>
              <w:rPr>
                <w:rFonts w:hint="eastAsia"/>
                <w:color w:val="FF0000"/>
              </w:rPr>
              <w:t xml:space="preserve"> </w:t>
            </w:r>
            <w:r>
              <w:rPr>
                <w:color w:val="FF0000"/>
              </w:rPr>
              <w:t xml:space="preserve">  </w:t>
            </w:r>
            <w:r>
              <w:rPr>
                <w:rFonts w:hint="eastAsia"/>
                <w:color w:val="FF0000"/>
              </w:rPr>
              <w:t xml:space="preserve"> </w:t>
            </w:r>
            <w:r>
              <w:rPr>
                <w:color w:val="FF0000"/>
              </w:rPr>
              <w:t xml:space="preserve">        </w:t>
            </w:r>
            <w:r>
              <w:rPr>
                <w:rFonts w:hint="eastAsia"/>
                <w:color w:val="FF0000"/>
              </w:rPr>
              <w:t>样方面积m×m：1×1</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highlight w:val="none"/>
              </w:rPr>
              <w:t>经度：</w:t>
            </w:r>
            <w:r>
              <w:rPr>
                <w:rFonts w:hint="eastAsia"/>
                <w:color w:val="FF0000"/>
                <w:highlight w:val="none"/>
                <w:lang w:val="en-US" w:eastAsia="zh-CN"/>
              </w:rPr>
              <w:t>112.869758</w:t>
            </w:r>
            <w:r>
              <w:rPr>
                <w:color w:val="FF0000"/>
                <w:highlight w:val="none"/>
              </w:rPr>
              <w:t>°</w:t>
            </w:r>
            <w:r>
              <w:rPr>
                <w:rFonts w:hint="eastAsia"/>
                <w:color w:val="FF0000"/>
                <w:highlight w:val="none"/>
              </w:rPr>
              <w:t xml:space="preserve">         纬度：42</w:t>
            </w:r>
            <w:r>
              <w:rPr>
                <w:rFonts w:hint="eastAsia"/>
                <w:color w:val="FF0000"/>
                <w:highlight w:val="none"/>
                <w:lang w:val="en-US" w:eastAsia="zh-CN"/>
              </w:rPr>
              <w:t>.473434</w:t>
            </w:r>
            <w:r>
              <w:rPr>
                <w:color w:val="FF0000"/>
                <w:highlight w:val="none"/>
              </w:rPr>
              <w:t>°</w:t>
            </w:r>
            <w:r>
              <w:rPr>
                <w:rFonts w:hint="eastAsia"/>
                <w:color w:val="FF0000"/>
                <w:highlight w:val="none"/>
              </w:rPr>
              <w:t xml:space="preserve">           </w:t>
            </w:r>
            <w:r>
              <w:rPr>
                <w:rFonts w:hint="eastAsia"/>
                <w:color w:val="FF0000"/>
                <w:highlight w:val="none"/>
                <w:lang w:val="en-US" w:eastAsia="zh-CN"/>
              </w:rPr>
              <w:t xml:space="preserve">      </w:t>
            </w:r>
            <w:r>
              <w:rPr>
                <w:rFonts w:hint="eastAsia"/>
                <w:color w:val="FF0000"/>
                <w:highlight w:val="none"/>
              </w:rPr>
              <w:t xml:space="preserve">  海拔(m)：1</w:t>
            </w:r>
            <w:r>
              <w:rPr>
                <w:rFonts w:hint="eastAsia"/>
                <w:color w:val="FF0000"/>
                <w:highlight w:val="none"/>
                <w:lang w:val="en-US" w:eastAsia="zh-CN"/>
              </w:rPr>
              <w:t>149</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调查人：</w:t>
            </w:r>
            <w:r>
              <w:rPr>
                <w:rFonts w:hint="eastAsia"/>
                <w:color w:val="FF0000"/>
                <w:lang w:val="en-US" w:eastAsia="zh-CN"/>
              </w:rPr>
              <w:t>尹秀翠、常鹏宇</w:t>
            </w:r>
            <w:r>
              <w:rPr>
                <w:rFonts w:hint="eastAsia"/>
                <w:color w:val="FF0000"/>
              </w:rPr>
              <w:t xml:space="preserve">等                             </w:t>
            </w:r>
            <w:r>
              <w:rPr>
                <w:color w:val="FF0000"/>
              </w:rPr>
              <w:t xml:space="preserve">   </w:t>
            </w:r>
            <w:r>
              <w:rPr>
                <w:rFonts w:hint="eastAsia"/>
                <w:color w:val="FF0000"/>
              </w:rPr>
              <w:t xml:space="preserve"> 调查日期：20</w:t>
            </w:r>
            <w:r>
              <w:rPr>
                <w:rFonts w:hint="eastAsia"/>
                <w:color w:val="FF0000"/>
                <w:lang w:val="en-US" w:eastAsia="zh-CN"/>
              </w:rPr>
              <w:t>21</w:t>
            </w:r>
            <w:r>
              <w:rPr>
                <w:rFonts w:hint="eastAsia"/>
                <w:color w:val="FF0000"/>
              </w:rPr>
              <w:t>.</w:t>
            </w:r>
            <w:r>
              <w:rPr>
                <w:rFonts w:hint="eastAsia"/>
                <w:color w:val="FF0000"/>
                <w:lang w:val="en-US" w:eastAsia="zh-CN"/>
              </w:rPr>
              <w:t>6</w:t>
            </w:r>
            <w:r>
              <w:rPr>
                <w:rFonts w:hint="eastAsia"/>
                <w:color w:val="FF0000"/>
              </w:rPr>
              <w:t>.</w:t>
            </w:r>
            <w:r>
              <w:rPr>
                <w:rFonts w:hint="eastAsia"/>
                <w:color w:val="FF0000"/>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种号</w:t>
            </w:r>
          </w:p>
        </w:tc>
        <w:tc>
          <w:tcPr>
            <w:tcW w:w="1312" w:type="dxa"/>
            <w:tcBorders>
              <w:tl2br w:val="nil"/>
              <w:tr2bl w:val="nil"/>
            </w:tcBorders>
            <w:shd w:val="clear" w:color="auto" w:fill="auto"/>
            <w:noWrap/>
            <w:vAlign w:val="center"/>
          </w:tcPr>
          <w:p>
            <w:pPr>
              <w:pStyle w:val="52"/>
              <w:spacing w:line="0" w:lineRule="atLeast"/>
              <w:rPr>
                <w:color w:val="FF0000"/>
              </w:rPr>
            </w:pPr>
            <w:r>
              <w:rPr>
                <w:rFonts w:hint="eastAsia"/>
                <w:color w:val="FF0000"/>
              </w:rPr>
              <w:t>中文名</w:t>
            </w:r>
          </w:p>
        </w:tc>
        <w:tc>
          <w:tcPr>
            <w:tcW w:w="2547" w:type="dxa"/>
            <w:tcBorders>
              <w:tl2br w:val="nil"/>
              <w:tr2bl w:val="nil"/>
            </w:tcBorders>
            <w:shd w:val="clear" w:color="auto" w:fill="auto"/>
            <w:noWrap/>
            <w:vAlign w:val="center"/>
          </w:tcPr>
          <w:p>
            <w:pPr>
              <w:pStyle w:val="52"/>
              <w:spacing w:line="0" w:lineRule="atLeast"/>
              <w:rPr>
                <w:color w:val="FF0000"/>
              </w:rPr>
            </w:pPr>
            <w:r>
              <w:rPr>
                <w:rFonts w:hint="eastAsia"/>
                <w:color w:val="FF0000"/>
              </w:rPr>
              <w:t>拉丁名</w:t>
            </w:r>
          </w:p>
        </w:tc>
        <w:tc>
          <w:tcPr>
            <w:tcW w:w="567" w:type="dxa"/>
            <w:tcBorders>
              <w:tl2br w:val="nil"/>
              <w:tr2bl w:val="nil"/>
            </w:tcBorders>
            <w:shd w:val="clear" w:color="auto" w:fill="auto"/>
            <w:noWrap/>
            <w:vAlign w:val="center"/>
          </w:tcPr>
          <w:p>
            <w:pPr>
              <w:pStyle w:val="52"/>
              <w:spacing w:line="0" w:lineRule="atLeast"/>
              <w:rPr>
                <w:color w:val="FF0000"/>
              </w:rPr>
            </w:pPr>
            <w:r>
              <w:rPr>
                <w:rFonts w:hint="eastAsia"/>
                <w:color w:val="FF0000"/>
              </w:rPr>
              <w:t>物候期</w:t>
            </w:r>
          </w:p>
        </w:tc>
        <w:tc>
          <w:tcPr>
            <w:tcW w:w="708" w:type="dxa"/>
            <w:tcBorders>
              <w:tl2br w:val="nil"/>
              <w:tr2bl w:val="nil"/>
            </w:tcBorders>
            <w:shd w:val="clear" w:color="auto" w:fill="auto"/>
            <w:noWrap/>
            <w:vAlign w:val="center"/>
          </w:tcPr>
          <w:p>
            <w:pPr>
              <w:pStyle w:val="52"/>
              <w:spacing w:line="0" w:lineRule="atLeast"/>
              <w:rPr>
                <w:color w:val="FF0000"/>
              </w:rPr>
            </w:pPr>
            <w:r>
              <w:rPr>
                <w:rFonts w:hint="eastAsia"/>
                <w:color w:val="FF0000"/>
              </w:rPr>
              <w:t>株(丛)数</w:t>
            </w:r>
          </w:p>
        </w:tc>
        <w:tc>
          <w:tcPr>
            <w:tcW w:w="853" w:type="dxa"/>
            <w:tcBorders>
              <w:tl2br w:val="nil"/>
              <w:tr2bl w:val="nil"/>
            </w:tcBorders>
            <w:shd w:val="clear" w:color="auto" w:fill="auto"/>
            <w:noWrap/>
            <w:vAlign w:val="center"/>
          </w:tcPr>
          <w:p>
            <w:pPr>
              <w:pStyle w:val="52"/>
              <w:spacing w:line="0" w:lineRule="atLeast"/>
              <w:rPr>
                <w:color w:val="FF0000"/>
              </w:rPr>
            </w:pPr>
            <w:r>
              <w:rPr>
                <w:rFonts w:hint="eastAsia"/>
                <w:color w:val="FF0000"/>
              </w:rPr>
              <w:t>丛幅</w:t>
            </w:r>
          </w:p>
        </w:tc>
        <w:tc>
          <w:tcPr>
            <w:tcW w:w="1012" w:type="dxa"/>
            <w:tcBorders>
              <w:tl2br w:val="nil"/>
              <w:tr2bl w:val="nil"/>
            </w:tcBorders>
            <w:shd w:val="clear" w:color="auto" w:fill="auto"/>
            <w:noWrap/>
            <w:vAlign w:val="center"/>
          </w:tcPr>
          <w:p>
            <w:pPr>
              <w:pStyle w:val="52"/>
              <w:spacing w:line="0" w:lineRule="atLeast"/>
              <w:rPr>
                <w:color w:val="FF0000"/>
              </w:rPr>
            </w:pPr>
            <w:r>
              <w:rPr>
                <w:rFonts w:hint="eastAsia"/>
                <w:color w:val="FF0000"/>
              </w:rPr>
              <w:t>平均高度/cm</w:t>
            </w:r>
          </w:p>
        </w:tc>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1</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114</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6</w:t>
            </w:r>
            <w:r>
              <w:rPr>
                <w:rFonts w:hint="eastAsia"/>
                <w:color w:val="FF0000"/>
              </w:rPr>
              <w:t>×</w:t>
            </w:r>
            <w:r>
              <w:rPr>
                <w:rFonts w:hint="eastAsia"/>
                <w:color w:val="FF0000"/>
                <w:lang w:val="en-US" w:eastAsia="zh-CN"/>
              </w:rPr>
              <w:t>4</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10</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2</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达乌里芯芭</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rFonts w:hint="default"/>
                <w:i/>
                <w:color w:val="FF0000"/>
                <w:highlight w:val="none"/>
              </w:rPr>
              <w:t>Cymbaria daurica Linnaeus</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val="en-US" w:eastAsia="zh-CN"/>
        </w:rPr>
      </w:pPr>
      <w:r>
        <w:rPr>
          <w:rFonts w:hint="eastAsia" w:eastAsia="宋体"/>
          <w:color w:val="FF0000"/>
          <w:highlight w:val="none"/>
          <w:lang w:val="en-US" w:eastAsia="zh-CN"/>
        </w:rPr>
        <w:drawing>
          <wp:inline distT="0" distB="0" distL="114300" distR="114300">
            <wp:extent cx="5266690" cy="3950335"/>
            <wp:effectExtent l="0" t="0" r="10160" b="12065"/>
            <wp:docPr id="76" name="图片 76" descr="23feb3046903335ace0785c6bc9a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3feb3046903335ace0785c6bc9ad93"/>
                    <pic:cNvPicPr>
                      <a:picLocks noChangeAspect="1"/>
                    </pic:cNvPicPr>
                  </pic:nvPicPr>
                  <pic:blipFill>
                    <a:blip r:embed="rId40"/>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b/>
          <w:bCs/>
          <w:color w:val="FF0000"/>
          <w:highlight w:val="none"/>
          <w:lang w:val="en-US" w:eastAsia="zh-CN"/>
        </w:rPr>
      </w:pPr>
      <w:r>
        <w:rPr>
          <w:rFonts w:hint="eastAsia" w:eastAsia="宋体"/>
          <w:b/>
          <w:bCs/>
          <w:color w:val="FF0000"/>
          <w:highlight w:val="none"/>
          <w:lang w:val="en-US" w:eastAsia="zh-CN"/>
        </w:rPr>
        <w:t>图4.2-1 样本1</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②</w:t>
      </w:r>
      <w:r>
        <w:rPr>
          <w:rFonts w:hint="eastAsia" w:eastAsia="宋体"/>
          <w:color w:val="FF0000"/>
          <w:highlight w:val="none"/>
          <w:lang w:eastAsia="zh-CN"/>
        </w:rPr>
        <w:t>样方</w:t>
      </w:r>
      <w:r>
        <w:rPr>
          <w:rFonts w:hint="eastAsia" w:eastAsia="宋体"/>
          <w:color w:val="FF0000"/>
          <w:highlight w:val="none"/>
          <w:lang w:val="en-US" w:eastAsia="zh-CN"/>
        </w:rPr>
        <w:t>2</w:t>
      </w:r>
      <w:r>
        <w:rPr>
          <w:rFonts w:hint="eastAsia" w:eastAsia="宋体"/>
          <w:color w:val="FF0000"/>
          <w:highlight w:val="none"/>
          <w:lang w:eastAsia="zh-CN"/>
        </w:rPr>
        <w:t>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w:t>
      </w:r>
      <w:r>
        <w:rPr>
          <w:rFonts w:hint="eastAsia" w:eastAsia="宋体"/>
          <w:color w:val="FF0000"/>
          <w:highlight w:val="none"/>
          <w:lang w:val="en-US" w:eastAsia="zh-CN"/>
        </w:rPr>
        <w:t>2</w:t>
      </w:r>
      <w:r>
        <w:rPr>
          <w:rFonts w:hint="eastAsia" w:eastAsia="宋体"/>
          <w:color w:val="FF0000"/>
          <w:highlight w:val="none"/>
          <w:lang w:eastAsia="zh-CN"/>
        </w:rPr>
        <w:t>位于</w:t>
      </w:r>
      <w:r>
        <w:rPr>
          <w:rFonts w:hint="eastAsia" w:eastAsia="宋体"/>
          <w:color w:val="FF0000"/>
          <w:highlight w:val="none"/>
          <w:lang w:val="en-US" w:eastAsia="zh-CN"/>
        </w:rPr>
        <w:t>采场西</w:t>
      </w:r>
      <w:r>
        <w:rPr>
          <w:rFonts w:hint="eastAsia" w:eastAsia="宋体"/>
          <w:color w:val="FF0000"/>
          <w:highlight w:val="none"/>
          <w:lang w:eastAsia="zh-CN"/>
        </w:rPr>
        <w:t>侧，海拔为1</w:t>
      </w:r>
      <w:r>
        <w:rPr>
          <w:rFonts w:hint="eastAsia" w:eastAsia="宋体"/>
          <w:color w:val="FF0000"/>
          <w:highlight w:val="none"/>
          <w:lang w:val="en-US" w:eastAsia="zh-CN"/>
        </w:rPr>
        <w:t>153</w:t>
      </w:r>
      <w:r>
        <w:rPr>
          <w:rFonts w:hint="eastAsia" w:eastAsia="宋体"/>
          <w:color w:val="FF0000"/>
          <w:highlight w:val="none"/>
          <w:lang w:eastAsia="zh-CN"/>
        </w:rPr>
        <w:t>m。主要群落类型为草本植物，主要植被为</w:t>
      </w:r>
      <w:r>
        <w:rPr>
          <w:rFonts w:hint="eastAsia" w:eastAsia="宋体"/>
          <w:color w:val="FF0000"/>
          <w:highlight w:val="none"/>
          <w:lang w:val="en-US" w:eastAsia="zh-CN"/>
        </w:rPr>
        <w:t>小针茅</w:t>
      </w:r>
      <w:r>
        <w:rPr>
          <w:rFonts w:hint="eastAsia" w:eastAsia="宋体"/>
          <w:color w:val="FF0000"/>
          <w:highlight w:val="none"/>
          <w:lang w:eastAsia="zh-CN"/>
        </w:rPr>
        <w:t>、</w:t>
      </w:r>
      <w:r>
        <w:rPr>
          <w:rFonts w:hint="eastAsia" w:eastAsia="宋体"/>
          <w:color w:val="FF0000"/>
          <w:highlight w:val="none"/>
          <w:lang w:val="en-US" w:eastAsia="zh-CN"/>
        </w:rPr>
        <w:t>无芒隐子草</w:t>
      </w:r>
      <w:r>
        <w:rPr>
          <w:rFonts w:hint="eastAsia" w:eastAsia="宋体"/>
          <w:color w:val="FF0000"/>
          <w:highlight w:val="none"/>
          <w:lang w:eastAsia="zh-CN"/>
        </w:rPr>
        <w:t>。样方数据详见表</w:t>
      </w:r>
      <w:r>
        <w:rPr>
          <w:rFonts w:hint="eastAsia" w:eastAsia="宋体"/>
          <w:color w:val="FF0000"/>
          <w:highlight w:val="none"/>
          <w:lang w:val="en-US" w:eastAsia="zh-CN"/>
        </w:rPr>
        <w:t>4.2-13</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4.2-13</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2调查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 xml:space="preserve">样地名称：草本 </w:t>
            </w:r>
            <w:r>
              <w:rPr>
                <w:color w:val="FF0000"/>
                <w:highlight w:val="none"/>
              </w:rPr>
              <w:t xml:space="preserve">                 </w:t>
            </w:r>
            <w:r>
              <w:rPr>
                <w:rFonts w:hint="eastAsia"/>
                <w:color w:val="FF0000"/>
                <w:highlight w:val="none"/>
              </w:rPr>
              <w:t>样方号：</w:t>
            </w:r>
            <w:r>
              <w:rPr>
                <w:rFonts w:hint="eastAsia"/>
                <w:color w:val="FF0000"/>
                <w:highlight w:val="none"/>
                <w:lang w:val="en-US" w:eastAsia="zh-CN"/>
              </w:rPr>
              <w:t>2</w:t>
            </w:r>
            <w:r>
              <w:rPr>
                <w:rFonts w:hint="eastAsia"/>
                <w:color w:val="FF0000"/>
                <w:highlight w:val="none"/>
              </w:rPr>
              <w:t xml:space="preserve"> </w:t>
            </w:r>
            <w:r>
              <w:rPr>
                <w:color w:val="FF0000"/>
                <w:highlight w:val="none"/>
              </w:rPr>
              <w:t xml:space="preserve">  </w:t>
            </w:r>
            <w:r>
              <w:rPr>
                <w:rFonts w:hint="eastAsia"/>
                <w:color w:val="FF0000"/>
                <w:highlight w:val="none"/>
              </w:rPr>
              <w:t xml:space="preserve"> </w:t>
            </w:r>
            <w:r>
              <w:rPr>
                <w:color w:val="FF0000"/>
                <w:highlight w:val="none"/>
              </w:rPr>
              <w:t xml:space="preserve">        </w:t>
            </w:r>
            <w:r>
              <w:rPr>
                <w:rFonts w:hint="eastAsia"/>
                <w:color w:val="FF0000"/>
                <w:highlight w:val="none"/>
              </w:rPr>
              <w:t>样方面积m×m：1×1</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rPr>
              <w:t>经度：112.863166</w:t>
            </w:r>
            <w:r>
              <w:rPr>
                <w:color w:val="FF0000"/>
                <w:highlight w:val="none"/>
              </w:rPr>
              <w:t>°</w:t>
            </w:r>
            <w:r>
              <w:rPr>
                <w:rFonts w:hint="eastAsia"/>
                <w:color w:val="FF0000"/>
                <w:highlight w:val="none"/>
              </w:rPr>
              <w:t xml:space="preserve">         纬度：42.471771</w:t>
            </w:r>
            <w:r>
              <w:rPr>
                <w:color w:val="FF0000"/>
                <w:highlight w:val="none"/>
              </w:rPr>
              <w:t>°</w:t>
            </w:r>
            <w:r>
              <w:rPr>
                <w:rFonts w:hint="eastAsia"/>
                <w:color w:val="FF0000"/>
                <w:highlight w:val="none"/>
              </w:rPr>
              <w:t xml:space="preserve">               海拔(m)：1</w:t>
            </w:r>
            <w:r>
              <w:rPr>
                <w:rFonts w:hint="eastAsia"/>
                <w:color w:val="FF0000"/>
                <w:highlight w:val="none"/>
                <w:lang w:val="en-US" w:eastAsia="zh-CN"/>
              </w:rPr>
              <w:t>153</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rPr>
              <w:t>调查人：</w:t>
            </w:r>
            <w:r>
              <w:rPr>
                <w:rFonts w:hint="eastAsia"/>
                <w:color w:val="FF0000"/>
                <w:highlight w:val="none"/>
                <w:lang w:val="en-US" w:eastAsia="zh-CN"/>
              </w:rPr>
              <w:t>尹秀翠、常鹏宇</w:t>
            </w:r>
            <w:r>
              <w:rPr>
                <w:rFonts w:hint="eastAsia"/>
                <w:color w:val="FF0000"/>
                <w:highlight w:val="none"/>
              </w:rPr>
              <w:t xml:space="preserve">等                             </w:t>
            </w:r>
            <w:r>
              <w:rPr>
                <w:color w:val="FF0000"/>
                <w:highlight w:val="none"/>
              </w:rPr>
              <w:t xml:space="preserve">   </w:t>
            </w:r>
            <w:r>
              <w:rPr>
                <w:rFonts w:hint="eastAsia"/>
                <w:color w:val="FF0000"/>
                <w:highlight w:val="none"/>
              </w:rPr>
              <w:t xml:space="preserve"> 调查日期：20</w:t>
            </w:r>
            <w:r>
              <w:rPr>
                <w:rFonts w:hint="eastAsia"/>
                <w:color w:val="FF0000"/>
                <w:highlight w:val="none"/>
                <w:lang w:val="en-US" w:eastAsia="zh-CN"/>
              </w:rPr>
              <w:t>21</w:t>
            </w:r>
            <w:r>
              <w:rPr>
                <w:rFonts w:hint="eastAsia"/>
                <w:color w:val="FF0000"/>
                <w:highlight w:val="none"/>
              </w:rPr>
              <w:t>.</w:t>
            </w:r>
            <w:r>
              <w:rPr>
                <w:rFonts w:hint="eastAsia"/>
                <w:color w:val="FF0000"/>
                <w:highlight w:val="none"/>
                <w:lang w:val="en-US" w:eastAsia="zh-CN"/>
              </w:rPr>
              <w:t>6</w:t>
            </w:r>
            <w:r>
              <w:rPr>
                <w:rFonts w:hint="eastAsia"/>
                <w:color w:val="FF0000"/>
                <w:highlight w:val="none"/>
              </w:rPr>
              <w:t>.</w:t>
            </w:r>
            <w:r>
              <w:rPr>
                <w:rFonts w:hint="eastAsia"/>
                <w:color w:val="FF0000"/>
                <w:highlight w:val="none"/>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种号</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中文名</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拉丁名</w:t>
            </w:r>
          </w:p>
        </w:tc>
        <w:tc>
          <w:tcPr>
            <w:tcW w:w="567"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物候期</w:t>
            </w:r>
          </w:p>
        </w:tc>
        <w:tc>
          <w:tcPr>
            <w:tcW w:w="708"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株(丛)数</w:t>
            </w:r>
          </w:p>
        </w:tc>
        <w:tc>
          <w:tcPr>
            <w:tcW w:w="853"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丛幅</w:t>
            </w:r>
          </w:p>
        </w:tc>
        <w:tc>
          <w:tcPr>
            <w:tcW w:w="10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平均高度/cm</w:t>
            </w:r>
          </w:p>
        </w:tc>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1</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highlight w:val="none"/>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121</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5</w:t>
            </w:r>
            <w:r>
              <w:rPr>
                <w:color w:val="FF0000"/>
                <w:highlight w:val="none"/>
              </w:rPr>
              <w:t>*</w:t>
            </w:r>
            <w:r>
              <w:rPr>
                <w:rFonts w:hint="eastAsia"/>
                <w:color w:val="FF0000"/>
                <w:highlight w:val="none"/>
                <w:lang w:val="en-US" w:eastAsia="zh-CN"/>
              </w:rPr>
              <w:t>7</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11</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2</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lang w:val="en-US" w:eastAsia="zh-CN"/>
              </w:rPr>
              <w:t>无芒隐子草</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i/>
                <w:color w:val="FF0000"/>
                <w:highlight w:val="none"/>
              </w:rPr>
              <w:t>Gramineae</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24</w:t>
            </w:r>
          </w:p>
        </w:tc>
        <w:tc>
          <w:tcPr>
            <w:tcW w:w="853" w:type="dxa"/>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5</w:t>
            </w:r>
            <w:r>
              <w:rPr>
                <w:color w:val="FF0000"/>
                <w:highlight w:val="none"/>
              </w:rPr>
              <w:t>*</w:t>
            </w:r>
            <w:r>
              <w:rPr>
                <w:rFonts w:hint="eastAsia"/>
                <w:color w:val="FF0000"/>
                <w:highlight w:val="none"/>
                <w:lang w:val="en-US" w:eastAsia="zh-CN"/>
              </w:rPr>
              <w:t>6</w:t>
            </w:r>
          </w:p>
        </w:tc>
        <w:tc>
          <w:tcPr>
            <w:tcW w:w="1012" w:type="dxa"/>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lang w:val="en-US" w:eastAsia="zh-CN"/>
              </w:rPr>
              <w:t>6</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3</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冷蒿</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A. frigida Willd.</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21</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15</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val="en-US" w:eastAsia="zh-CN"/>
        </w:rPr>
      </w:pPr>
      <w:r>
        <w:rPr>
          <w:rFonts w:hint="eastAsia" w:eastAsia="宋体"/>
          <w:color w:val="FF0000"/>
          <w:highlight w:val="none"/>
          <w:lang w:val="en-US" w:eastAsia="zh-CN"/>
        </w:rPr>
        <w:drawing>
          <wp:inline distT="0" distB="0" distL="114300" distR="114300">
            <wp:extent cx="5274310" cy="3955415"/>
            <wp:effectExtent l="0" t="0" r="2540" b="6985"/>
            <wp:docPr id="75" name="图片 75" descr="f13e42ab378b67103e0a65ca8e58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13e42ab378b67103e0a65ca8e5892e"/>
                    <pic:cNvPicPr>
                      <a:picLocks noChangeAspect="1"/>
                    </pic:cNvPicPr>
                  </pic:nvPicPr>
                  <pic:blipFill>
                    <a:blip r:embed="rId41"/>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val="en-US" w:eastAsia="zh-CN"/>
        </w:rPr>
        <w:t xml:space="preserve">图4.2-2  </w:t>
      </w:r>
      <w:r>
        <w:rPr>
          <w:rFonts w:hint="eastAsia" w:eastAsia="宋体"/>
          <w:b/>
          <w:bCs/>
          <w:color w:val="FF0000"/>
          <w:highlight w:val="none"/>
          <w:lang w:eastAsia="zh-CN"/>
        </w:rPr>
        <w:t>样方</w:t>
      </w:r>
      <w:r>
        <w:rPr>
          <w:rFonts w:hint="eastAsia" w:eastAsia="宋体"/>
          <w:b/>
          <w:bCs/>
          <w:color w:val="FF0000"/>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③</w:t>
      </w:r>
      <w:r>
        <w:rPr>
          <w:rFonts w:hint="eastAsia" w:eastAsia="宋体"/>
          <w:color w:val="FF0000"/>
          <w:highlight w:val="none"/>
          <w:lang w:eastAsia="zh-CN"/>
        </w:rPr>
        <w:t>样方</w:t>
      </w:r>
      <w:r>
        <w:rPr>
          <w:rFonts w:hint="eastAsia" w:eastAsia="宋体"/>
          <w:color w:val="FF0000"/>
          <w:highlight w:val="none"/>
          <w:lang w:val="en-US" w:eastAsia="zh-CN"/>
        </w:rPr>
        <w:t>3</w:t>
      </w:r>
      <w:r>
        <w:rPr>
          <w:rFonts w:hint="eastAsia" w:eastAsia="宋体"/>
          <w:color w:val="FF0000"/>
          <w:highlight w:val="none"/>
          <w:lang w:eastAsia="zh-CN"/>
        </w:rPr>
        <w:t>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w:t>
      </w:r>
      <w:r>
        <w:rPr>
          <w:rFonts w:hint="eastAsia" w:eastAsia="宋体"/>
          <w:color w:val="FF0000"/>
          <w:highlight w:val="none"/>
          <w:lang w:val="en-US" w:eastAsia="zh-CN"/>
        </w:rPr>
        <w:t>3</w:t>
      </w:r>
      <w:r>
        <w:rPr>
          <w:rFonts w:hint="eastAsia" w:eastAsia="宋体"/>
          <w:color w:val="FF0000"/>
          <w:highlight w:val="none"/>
          <w:lang w:eastAsia="zh-CN"/>
        </w:rPr>
        <w:t>位于</w:t>
      </w:r>
      <w:r>
        <w:rPr>
          <w:rFonts w:hint="eastAsia" w:eastAsia="宋体"/>
          <w:color w:val="FF0000"/>
          <w:highlight w:val="none"/>
          <w:lang w:val="en-US" w:eastAsia="zh-CN"/>
        </w:rPr>
        <w:t>采场东</w:t>
      </w:r>
      <w:r>
        <w:rPr>
          <w:rFonts w:hint="eastAsia" w:eastAsia="宋体"/>
          <w:color w:val="FF0000"/>
          <w:highlight w:val="none"/>
          <w:lang w:eastAsia="zh-CN"/>
        </w:rPr>
        <w:t>侧，海拔为1</w:t>
      </w:r>
      <w:r>
        <w:rPr>
          <w:rFonts w:hint="eastAsia" w:eastAsia="宋体"/>
          <w:color w:val="FF0000"/>
          <w:highlight w:val="none"/>
          <w:lang w:val="en-US" w:eastAsia="zh-CN"/>
        </w:rPr>
        <w:t>144</w:t>
      </w:r>
      <w:r>
        <w:rPr>
          <w:rFonts w:hint="eastAsia" w:eastAsia="宋体"/>
          <w:color w:val="FF0000"/>
          <w:highlight w:val="none"/>
          <w:lang w:eastAsia="zh-CN"/>
        </w:rPr>
        <w:t>m。主要群落类型为草本植物，主要植被为</w:t>
      </w:r>
      <w:r>
        <w:rPr>
          <w:rFonts w:hint="eastAsia" w:eastAsia="宋体"/>
          <w:color w:val="FF0000"/>
          <w:highlight w:val="none"/>
          <w:lang w:val="en-US" w:eastAsia="zh-CN"/>
        </w:rPr>
        <w:t>小针茅、无芒隐子草、冷蒿等</w:t>
      </w:r>
      <w:r>
        <w:rPr>
          <w:rFonts w:hint="eastAsia" w:eastAsia="宋体"/>
          <w:color w:val="FF0000"/>
          <w:highlight w:val="none"/>
          <w:lang w:eastAsia="zh-CN"/>
        </w:rPr>
        <w:t>。样方数据详见表</w:t>
      </w:r>
      <w:r>
        <w:rPr>
          <w:rFonts w:hint="eastAsia" w:eastAsia="宋体"/>
          <w:color w:val="FF0000"/>
          <w:highlight w:val="none"/>
          <w:lang w:val="en-US" w:eastAsia="zh-CN"/>
        </w:rPr>
        <w:t>4.2-14</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4.2-14</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3调查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 xml:space="preserve">样地名称：草本 </w:t>
            </w:r>
            <w:r>
              <w:rPr>
                <w:color w:val="FF0000"/>
              </w:rPr>
              <w:t xml:space="preserve">                 </w:t>
            </w:r>
            <w:r>
              <w:rPr>
                <w:rFonts w:hint="eastAsia"/>
                <w:color w:val="FF0000"/>
              </w:rPr>
              <w:t>样方号：</w:t>
            </w:r>
            <w:r>
              <w:rPr>
                <w:rFonts w:hint="eastAsia"/>
                <w:color w:val="FF0000"/>
                <w:lang w:val="en-US" w:eastAsia="zh-CN"/>
              </w:rPr>
              <w:t>3</w:t>
            </w:r>
            <w:r>
              <w:rPr>
                <w:color w:val="FF0000"/>
              </w:rPr>
              <w:t xml:space="preserve">  </w:t>
            </w:r>
            <w:r>
              <w:rPr>
                <w:rFonts w:hint="eastAsia"/>
                <w:color w:val="FF0000"/>
              </w:rPr>
              <w:t xml:space="preserve"> </w:t>
            </w:r>
            <w:r>
              <w:rPr>
                <w:color w:val="FF0000"/>
              </w:rPr>
              <w:t xml:space="preserve">        </w:t>
            </w:r>
            <w:r>
              <w:rPr>
                <w:rFonts w:hint="eastAsia"/>
                <w:color w:val="FF0000"/>
              </w:rPr>
              <w:t>样方面积m×m：1×1</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rPr>
              <w:t>经度：112.866978</w:t>
            </w:r>
            <w:r>
              <w:rPr>
                <w:color w:val="FF0000"/>
                <w:highlight w:val="none"/>
              </w:rPr>
              <w:t>°</w:t>
            </w:r>
            <w:r>
              <w:rPr>
                <w:rFonts w:hint="eastAsia"/>
                <w:color w:val="FF0000"/>
                <w:highlight w:val="none"/>
              </w:rPr>
              <w:t xml:space="preserve">          纬度：42.470280</w:t>
            </w:r>
            <w:r>
              <w:rPr>
                <w:color w:val="FF0000"/>
                <w:highlight w:val="none"/>
              </w:rPr>
              <w:t>°</w:t>
            </w:r>
            <w:r>
              <w:rPr>
                <w:rFonts w:hint="eastAsia"/>
                <w:color w:val="FF0000"/>
                <w:highlight w:val="none"/>
              </w:rPr>
              <w:t xml:space="preserve">     </w:t>
            </w:r>
            <w:r>
              <w:rPr>
                <w:rFonts w:hint="eastAsia"/>
                <w:color w:val="FF0000"/>
                <w:highlight w:val="none"/>
                <w:lang w:val="en-US" w:eastAsia="zh-CN"/>
              </w:rPr>
              <w:t xml:space="preserve">   </w:t>
            </w:r>
            <w:r>
              <w:rPr>
                <w:rFonts w:hint="eastAsia"/>
                <w:color w:val="FF0000"/>
                <w:highlight w:val="none"/>
              </w:rPr>
              <w:t xml:space="preserve">          海拔(m)：1</w:t>
            </w:r>
            <w:r>
              <w:rPr>
                <w:rFonts w:hint="eastAsia"/>
                <w:color w:val="FF0000"/>
                <w:highlight w:val="none"/>
                <w:lang w:val="en-US" w:eastAsia="zh-CN"/>
              </w:rPr>
              <w:t>144</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调查人：</w:t>
            </w:r>
            <w:r>
              <w:rPr>
                <w:rFonts w:hint="eastAsia"/>
                <w:color w:val="FF0000"/>
                <w:lang w:val="en-US" w:eastAsia="zh-CN"/>
              </w:rPr>
              <w:t>尹秀翠、常鹏宇</w:t>
            </w:r>
            <w:r>
              <w:rPr>
                <w:rFonts w:hint="eastAsia"/>
                <w:color w:val="FF0000"/>
              </w:rPr>
              <w:t xml:space="preserve">等                             </w:t>
            </w:r>
            <w:r>
              <w:rPr>
                <w:color w:val="FF0000"/>
              </w:rPr>
              <w:t xml:space="preserve">   </w:t>
            </w:r>
            <w:r>
              <w:rPr>
                <w:rFonts w:hint="eastAsia"/>
                <w:color w:val="FF0000"/>
              </w:rPr>
              <w:t xml:space="preserve"> 调查日期：20</w:t>
            </w:r>
            <w:r>
              <w:rPr>
                <w:rFonts w:hint="eastAsia"/>
                <w:color w:val="FF0000"/>
                <w:lang w:val="en-US" w:eastAsia="zh-CN"/>
              </w:rPr>
              <w:t>21</w:t>
            </w:r>
            <w:r>
              <w:rPr>
                <w:rFonts w:hint="eastAsia"/>
                <w:color w:val="FF0000"/>
              </w:rPr>
              <w:t>.</w:t>
            </w:r>
            <w:r>
              <w:rPr>
                <w:rFonts w:hint="eastAsia"/>
                <w:color w:val="FF0000"/>
                <w:lang w:val="en-US" w:eastAsia="zh-CN"/>
              </w:rPr>
              <w:t>6</w:t>
            </w:r>
            <w:r>
              <w:rPr>
                <w:rFonts w:hint="eastAsia"/>
                <w:color w:val="FF0000"/>
              </w:rPr>
              <w:t>.</w:t>
            </w:r>
            <w:r>
              <w:rPr>
                <w:rFonts w:hint="eastAsia"/>
                <w:color w:val="FF0000"/>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种号</w:t>
            </w:r>
          </w:p>
        </w:tc>
        <w:tc>
          <w:tcPr>
            <w:tcW w:w="1312" w:type="dxa"/>
            <w:tcBorders>
              <w:tl2br w:val="nil"/>
              <w:tr2bl w:val="nil"/>
            </w:tcBorders>
            <w:shd w:val="clear" w:color="auto" w:fill="auto"/>
            <w:noWrap/>
            <w:vAlign w:val="center"/>
          </w:tcPr>
          <w:p>
            <w:pPr>
              <w:pStyle w:val="52"/>
              <w:spacing w:line="0" w:lineRule="atLeast"/>
              <w:rPr>
                <w:color w:val="FF0000"/>
              </w:rPr>
            </w:pPr>
            <w:r>
              <w:rPr>
                <w:rFonts w:hint="eastAsia"/>
                <w:color w:val="FF0000"/>
              </w:rPr>
              <w:t>中文名</w:t>
            </w:r>
          </w:p>
        </w:tc>
        <w:tc>
          <w:tcPr>
            <w:tcW w:w="2547" w:type="dxa"/>
            <w:tcBorders>
              <w:tl2br w:val="nil"/>
              <w:tr2bl w:val="nil"/>
            </w:tcBorders>
            <w:shd w:val="clear" w:color="auto" w:fill="auto"/>
            <w:noWrap/>
            <w:vAlign w:val="center"/>
          </w:tcPr>
          <w:p>
            <w:pPr>
              <w:pStyle w:val="52"/>
              <w:spacing w:line="0" w:lineRule="atLeast"/>
              <w:rPr>
                <w:color w:val="FF0000"/>
              </w:rPr>
            </w:pPr>
            <w:r>
              <w:rPr>
                <w:rFonts w:hint="eastAsia"/>
                <w:color w:val="FF0000"/>
              </w:rPr>
              <w:t>拉丁名</w:t>
            </w:r>
          </w:p>
        </w:tc>
        <w:tc>
          <w:tcPr>
            <w:tcW w:w="567" w:type="dxa"/>
            <w:tcBorders>
              <w:tl2br w:val="nil"/>
              <w:tr2bl w:val="nil"/>
            </w:tcBorders>
            <w:shd w:val="clear" w:color="auto" w:fill="auto"/>
            <w:noWrap/>
            <w:vAlign w:val="center"/>
          </w:tcPr>
          <w:p>
            <w:pPr>
              <w:pStyle w:val="52"/>
              <w:spacing w:line="0" w:lineRule="atLeast"/>
              <w:rPr>
                <w:color w:val="FF0000"/>
              </w:rPr>
            </w:pPr>
            <w:r>
              <w:rPr>
                <w:rFonts w:hint="eastAsia"/>
                <w:color w:val="FF0000"/>
              </w:rPr>
              <w:t>物候期</w:t>
            </w:r>
          </w:p>
        </w:tc>
        <w:tc>
          <w:tcPr>
            <w:tcW w:w="708" w:type="dxa"/>
            <w:tcBorders>
              <w:tl2br w:val="nil"/>
              <w:tr2bl w:val="nil"/>
            </w:tcBorders>
            <w:shd w:val="clear" w:color="auto" w:fill="auto"/>
            <w:noWrap/>
            <w:vAlign w:val="center"/>
          </w:tcPr>
          <w:p>
            <w:pPr>
              <w:pStyle w:val="52"/>
              <w:spacing w:line="0" w:lineRule="atLeast"/>
              <w:rPr>
                <w:color w:val="FF0000"/>
              </w:rPr>
            </w:pPr>
            <w:r>
              <w:rPr>
                <w:rFonts w:hint="eastAsia"/>
                <w:color w:val="FF0000"/>
              </w:rPr>
              <w:t>株(丛)数</w:t>
            </w:r>
          </w:p>
        </w:tc>
        <w:tc>
          <w:tcPr>
            <w:tcW w:w="853" w:type="dxa"/>
            <w:tcBorders>
              <w:tl2br w:val="nil"/>
              <w:tr2bl w:val="nil"/>
            </w:tcBorders>
            <w:shd w:val="clear" w:color="auto" w:fill="auto"/>
            <w:noWrap/>
            <w:vAlign w:val="center"/>
          </w:tcPr>
          <w:p>
            <w:pPr>
              <w:pStyle w:val="52"/>
              <w:spacing w:line="0" w:lineRule="atLeast"/>
              <w:rPr>
                <w:color w:val="FF0000"/>
              </w:rPr>
            </w:pPr>
            <w:r>
              <w:rPr>
                <w:rFonts w:hint="eastAsia"/>
                <w:color w:val="FF0000"/>
              </w:rPr>
              <w:t>丛幅</w:t>
            </w:r>
          </w:p>
        </w:tc>
        <w:tc>
          <w:tcPr>
            <w:tcW w:w="1012" w:type="dxa"/>
            <w:tcBorders>
              <w:tl2br w:val="nil"/>
              <w:tr2bl w:val="nil"/>
            </w:tcBorders>
            <w:shd w:val="clear" w:color="auto" w:fill="auto"/>
            <w:noWrap/>
            <w:vAlign w:val="center"/>
          </w:tcPr>
          <w:p>
            <w:pPr>
              <w:pStyle w:val="52"/>
              <w:spacing w:line="0" w:lineRule="atLeast"/>
              <w:rPr>
                <w:color w:val="FF0000"/>
              </w:rPr>
            </w:pPr>
            <w:r>
              <w:rPr>
                <w:rFonts w:hint="eastAsia"/>
                <w:color w:val="FF0000"/>
              </w:rPr>
              <w:t>平均高度/cm</w:t>
            </w:r>
          </w:p>
        </w:tc>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1</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highlight w:val="none"/>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116</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4</w:t>
            </w:r>
            <w:r>
              <w:rPr>
                <w:color w:val="FF0000"/>
                <w:highlight w:val="none"/>
              </w:rPr>
              <w:t>*</w:t>
            </w:r>
            <w:r>
              <w:rPr>
                <w:rFonts w:hint="eastAsia"/>
                <w:color w:val="FF0000"/>
                <w:highlight w:val="none"/>
                <w:lang w:val="en-US" w:eastAsia="zh-CN"/>
              </w:rPr>
              <w:t>6</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16</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2</w:t>
            </w:r>
          </w:p>
        </w:tc>
        <w:tc>
          <w:tcPr>
            <w:tcW w:w="1312" w:type="dxa"/>
            <w:tcBorders>
              <w:tl2br w:val="nil"/>
              <w:tr2bl w:val="nil"/>
            </w:tcBorders>
            <w:shd w:val="clear" w:color="auto" w:fill="auto"/>
            <w:noWrap/>
            <w:vAlign w:val="center"/>
          </w:tcPr>
          <w:p>
            <w:pPr>
              <w:pStyle w:val="52"/>
              <w:spacing w:line="0" w:lineRule="atLeast"/>
              <w:rPr>
                <w:rFonts w:hint="eastAsia"/>
                <w:color w:val="FF0000"/>
                <w:highlight w:val="none"/>
              </w:rPr>
            </w:pPr>
            <w:r>
              <w:rPr>
                <w:rFonts w:hint="eastAsia"/>
                <w:color w:val="FF0000"/>
                <w:highlight w:val="none"/>
                <w:lang w:val="en-US" w:eastAsia="zh-CN"/>
              </w:rPr>
              <w:t>无芒隐子草</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Gramineae</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42</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10</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3</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冷蒿</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A. frigida Willd.</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22</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21</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猪毛蒿</w:t>
            </w:r>
          </w:p>
        </w:tc>
        <w:tc>
          <w:tcPr>
            <w:tcW w:w="2547" w:type="dxa"/>
            <w:tcBorders>
              <w:tl2br w:val="nil"/>
              <w:tr2bl w:val="nil"/>
            </w:tcBorders>
            <w:shd w:val="clear" w:color="auto" w:fill="auto"/>
            <w:noWrap/>
            <w:vAlign w:val="center"/>
          </w:tcPr>
          <w:p>
            <w:pPr>
              <w:pStyle w:val="52"/>
              <w:spacing w:line="0" w:lineRule="atLeast"/>
              <w:rPr>
                <w:b/>
                <w:bCs/>
                <w:i/>
                <w:color w:val="FF0000"/>
                <w:highlight w:val="none"/>
              </w:rPr>
            </w:pPr>
            <w:r>
              <w:rPr>
                <w:rFonts w:hint="default" w:ascii="Helvetica" w:hAnsi="Helvetica" w:eastAsia="Helvetica" w:cs="Helvetica"/>
                <w:i/>
                <w:iCs/>
                <w:caps w:val="0"/>
                <w:color w:val="FF0000"/>
                <w:spacing w:val="0"/>
                <w:sz w:val="18"/>
                <w:szCs w:val="18"/>
                <w:shd w:val="clear" w:fill="FFFFFF"/>
              </w:rPr>
              <w:t>Artemisia scoparia Waldst. et Kit.</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3</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18</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eastAsia="zh-CN"/>
        </w:rPr>
      </w:pPr>
      <w:r>
        <w:rPr>
          <w:rFonts w:hint="eastAsia" w:eastAsia="宋体"/>
          <w:color w:val="FF0000"/>
          <w:highlight w:val="none"/>
          <w:lang w:eastAsia="zh-CN"/>
        </w:rPr>
        <w:drawing>
          <wp:inline distT="0" distB="0" distL="114300" distR="114300">
            <wp:extent cx="3890010" cy="5187315"/>
            <wp:effectExtent l="0" t="0" r="13335" b="15240"/>
            <wp:docPr id="77" name="图片 77" descr="686195def4a494f9255a4aad8ebf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86195def4a494f9255a4aad8ebf62d"/>
                    <pic:cNvPicPr>
                      <a:picLocks noChangeAspect="1"/>
                    </pic:cNvPicPr>
                  </pic:nvPicPr>
                  <pic:blipFill>
                    <a:blip r:embed="rId42"/>
                    <a:stretch>
                      <a:fillRect/>
                    </a:stretch>
                  </pic:blipFill>
                  <pic:spPr>
                    <a:xfrm rot="16200000">
                      <a:off x="0" y="0"/>
                      <a:ext cx="3890010" cy="5187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val="en-US" w:eastAsia="zh-CN"/>
        </w:rPr>
        <w:t xml:space="preserve">图4.2-3  </w:t>
      </w:r>
      <w:r>
        <w:rPr>
          <w:rFonts w:hint="eastAsia" w:eastAsia="宋体"/>
          <w:b/>
          <w:bCs/>
          <w:color w:val="FF0000"/>
          <w:highlight w:val="none"/>
          <w:lang w:eastAsia="zh-CN"/>
        </w:rPr>
        <w:t>样方</w:t>
      </w:r>
      <w:r>
        <w:rPr>
          <w:rFonts w:hint="eastAsia" w:eastAsia="宋体"/>
          <w:b/>
          <w:bCs/>
          <w:color w:val="FF0000"/>
          <w:highlight w:val="none"/>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④</w:t>
      </w:r>
      <w:r>
        <w:rPr>
          <w:rFonts w:hint="eastAsia" w:eastAsia="宋体"/>
          <w:color w:val="FF0000"/>
          <w:highlight w:val="none"/>
          <w:lang w:eastAsia="zh-CN"/>
        </w:rPr>
        <w:t>样方</w:t>
      </w:r>
      <w:r>
        <w:rPr>
          <w:rFonts w:hint="eastAsia" w:eastAsia="宋体"/>
          <w:color w:val="FF0000"/>
          <w:highlight w:val="none"/>
          <w:lang w:val="en-US" w:eastAsia="zh-CN"/>
        </w:rPr>
        <w:t>4</w:t>
      </w:r>
      <w:r>
        <w:rPr>
          <w:rFonts w:hint="eastAsia" w:eastAsia="宋体"/>
          <w:color w:val="FF0000"/>
          <w:highlight w:val="none"/>
          <w:lang w:eastAsia="zh-CN"/>
        </w:rPr>
        <w:t>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w:t>
      </w:r>
      <w:r>
        <w:rPr>
          <w:rFonts w:hint="eastAsia" w:eastAsia="宋体"/>
          <w:color w:val="FF0000"/>
          <w:highlight w:val="none"/>
          <w:lang w:val="en-US" w:eastAsia="zh-CN"/>
        </w:rPr>
        <w:t>4</w:t>
      </w:r>
      <w:r>
        <w:rPr>
          <w:rFonts w:hint="eastAsia" w:eastAsia="宋体"/>
          <w:color w:val="FF0000"/>
          <w:highlight w:val="none"/>
          <w:lang w:eastAsia="zh-CN"/>
        </w:rPr>
        <w:t>位于</w:t>
      </w:r>
      <w:r>
        <w:rPr>
          <w:rFonts w:hint="eastAsia" w:eastAsia="宋体"/>
          <w:color w:val="FF0000"/>
          <w:highlight w:val="none"/>
          <w:lang w:val="en-US" w:eastAsia="zh-CN"/>
        </w:rPr>
        <w:t>采场南</w:t>
      </w:r>
      <w:r>
        <w:rPr>
          <w:rFonts w:hint="eastAsia" w:eastAsia="宋体"/>
          <w:color w:val="FF0000"/>
          <w:highlight w:val="none"/>
          <w:lang w:eastAsia="zh-CN"/>
        </w:rPr>
        <w:t>侧，海拔为1</w:t>
      </w:r>
      <w:r>
        <w:rPr>
          <w:rFonts w:hint="eastAsia" w:eastAsia="宋体"/>
          <w:color w:val="FF0000"/>
          <w:highlight w:val="none"/>
          <w:lang w:val="en-US" w:eastAsia="zh-CN"/>
        </w:rPr>
        <w:t>134</w:t>
      </w:r>
      <w:r>
        <w:rPr>
          <w:rFonts w:hint="eastAsia" w:eastAsia="宋体"/>
          <w:color w:val="FF0000"/>
          <w:highlight w:val="none"/>
          <w:lang w:eastAsia="zh-CN"/>
        </w:rPr>
        <w:t>m。主要群落类型为</w:t>
      </w:r>
      <w:r>
        <w:rPr>
          <w:rFonts w:hint="eastAsia" w:eastAsia="宋体"/>
          <w:color w:val="FF0000"/>
          <w:highlight w:val="none"/>
          <w:lang w:val="en-US" w:eastAsia="zh-CN"/>
        </w:rPr>
        <w:t>灌木</w:t>
      </w:r>
      <w:r>
        <w:rPr>
          <w:rFonts w:hint="eastAsia" w:eastAsia="宋体"/>
          <w:color w:val="FF0000"/>
          <w:highlight w:val="none"/>
          <w:lang w:eastAsia="zh-CN"/>
        </w:rPr>
        <w:t>植物，主要植被为</w:t>
      </w:r>
      <w:r>
        <w:rPr>
          <w:rFonts w:hint="eastAsia" w:eastAsia="宋体"/>
          <w:color w:val="FF0000"/>
          <w:highlight w:val="none"/>
          <w:lang w:val="en-US" w:eastAsia="zh-CN"/>
        </w:rPr>
        <w:t>小叶锦鸡儿、小针茅、银灰旋花、疾藜等</w:t>
      </w:r>
      <w:r>
        <w:rPr>
          <w:rFonts w:hint="eastAsia" w:eastAsia="宋体"/>
          <w:color w:val="FF0000"/>
          <w:highlight w:val="none"/>
          <w:lang w:eastAsia="zh-CN"/>
        </w:rPr>
        <w:t>。样方数据详见表</w:t>
      </w:r>
      <w:r>
        <w:rPr>
          <w:rFonts w:hint="eastAsia" w:eastAsia="宋体"/>
          <w:color w:val="FF0000"/>
          <w:highlight w:val="none"/>
          <w:lang w:val="en-US" w:eastAsia="zh-CN"/>
        </w:rPr>
        <w:t>4.2-15</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4.2-15</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4调查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样地名称：</w:t>
            </w:r>
            <w:r>
              <w:rPr>
                <w:rFonts w:hint="eastAsia"/>
                <w:color w:val="FF0000"/>
                <w:lang w:val="en-US" w:eastAsia="zh-CN"/>
              </w:rPr>
              <w:t>灌木</w:t>
            </w:r>
            <w:r>
              <w:rPr>
                <w:rFonts w:hint="eastAsia"/>
                <w:color w:val="FF0000"/>
              </w:rPr>
              <w:t xml:space="preserve"> </w:t>
            </w:r>
            <w:r>
              <w:rPr>
                <w:color w:val="FF0000"/>
              </w:rPr>
              <w:t xml:space="preserve">                 </w:t>
            </w:r>
            <w:r>
              <w:rPr>
                <w:rFonts w:hint="eastAsia"/>
                <w:color w:val="FF0000"/>
              </w:rPr>
              <w:t>样方号：</w:t>
            </w:r>
            <w:r>
              <w:rPr>
                <w:rFonts w:hint="eastAsia"/>
                <w:color w:val="FF0000"/>
                <w:lang w:val="en-US" w:eastAsia="zh-CN"/>
              </w:rPr>
              <w:t>4</w:t>
            </w:r>
            <w:r>
              <w:rPr>
                <w:color w:val="FF0000"/>
              </w:rPr>
              <w:t xml:space="preserve">  </w:t>
            </w:r>
            <w:r>
              <w:rPr>
                <w:rFonts w:hint="eastAsia"/>
                <w:color w:val="FF0000"/>
              </w:rPr>
              <w:t xml:space="preserve"> </w:t>
            </w:r>
            <w:r>
              <w:rPr>
                <w:color w:val="FF0000"/>
              </w:rPr>
              <w:t xml:space="preserve">        </w:t>
            </w:r>
            <w:r>
              <w:rPr>
                <w:rFonts w:hint="eastAsia"/>
                <w:color w:val="FF0000"/>
              </w:rPr>
              <w:t>样方面积m×m：</w:t>
            </w:r>
            <w:r>
              <w:rPr>
                <w:rFonts w:hint="eastAsia"/>
                <w:color w:val="FF0000"/>
                <w:lang w:val="en-US" w:eastAsia="zh-CN"/>
              </w:rPr>
              <w:t>5</w:t>
            </w:r>
            <w:r>
              <w:rPr>
                <w:rFonts w:hint="eastAsia"/>
                <w:color w:val="FF0000"/>
              </w:rPr>
              <w:t>×</w:t>
            </w:r>
            <w:r>
              <w:rPr>
                <w:rFonts w:hint="eastAsia"/>
                <w:color w:val="FF0000"/>
                <w:lang w:val="en-US" w:eastAsia="zh-CN"/>
              </w:rPr>
              <w:t>5</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rPr>
              <w:t>经度：112.</w:t>
            </w:r>
            <w:r>
              <w:rPr>
                <w:rFonts w:hint="eastAsia"/>
                <w:color w:val="FF0000"/>
                <w:highlight w:val="none"/>
                <w:lang w:val="en-US" w:eastAsia="zh-CN"/>
              </w:rPr>
              <w:t>869275</w:t>
            </w:r>
            <w:r>
              <w:rPr>
                <w:color w:val="FF0000"/>
                <w:highlight w:val="none"/>
              </w:rPr>
              <w:t>°</w:t>
            </w:r>
            <w:r>
              <w:rPr>
                <w:rFonts w:hint="eastAsia"/>
                <w:color w:val="FF0000"/>
                <w:highlight w:val="none"/>
              </w:rPr>
              <w:t xml:space="preserve">          纬度：42.47</w:t>
            </w:r>
            <w:r>
              <w:rPr>
                <w:rFonts w:hint="eastAsia"/>
                <w:color w:val="FF0000"/>
                <w:highlight w:val="none"/>
                <w:lang w:val="en-US" w:eastAsia="zh-CN"/>
              </w:rPr>
              <w:t>1400</w:t>
            </w:r>
            <w:r>
              <w:rPr>
                <w:color w:val="FF0000"/>
                <w:highlight w:val="none"/>
              </w:rPr>
              <w:t>°</w:t>
            </w:r>
            <w:r>
              <w:rPr>
                <w:rFonts w:hint="eastAsia"/>
                <w:color w:val="FF0000"/>
                <w:highlight w:val="none"/>
              </w:rPr>
              <w:t xml:space="preserve">     </w:t>
            </w:r>
            <w:r>
              <w:rPr>
                <w:rFonts w:hint="eastAsia"/>
                <w:color w:val="FF0000"/>
                <w:highlight w:val="none"/>
                <w:lang w:val="en-US" w:eastAsia="zh-CN"/>
              </w:rPr>
              <w:t xml:space="preserve">   </w:t>
            </w:r>
            <w:r>
              <w:rPr>
                <w:rFonts w:hint="eastAsia"/>
                <w:color w:val="FF0000"/>
                <w:highlight w:val="none"/>
              </w:rPr>
              <w:t xml:space="preserve">          海拔(m)：1</w:t>
            </w:r>
            <w:r>
              <w:rPr>
                <w:rFonts w:hint="eastAsia"/>
                <w:color w:val="FF0000"/>
                <w:highlight w:val="none"/>
                <w:lang w:val="en-US" w:eastAsia="zh-CN"/>
              </w:rPr>
              <w:t>134</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调查人：</w:t>
            </w:r>
            <w:r>
              <w:rPr>
                <w:rFonts w:hint="eastAsia"/>
                <w:color w:val="FF0000"/>
                <w:lang w:val="en-US" w:eastAsia="zh-CN"/>
              </w:rPr>
              <w:t>尹秀翠、常鹏宇</w:t>
            </w:r>
            <w:r>
              <w:rPr>
                <w:rFonts w:hint="eastAsia"/>
                <w:color w:val="FF0000"/>
              </w:rPr>
              <w:t xml:space="preserve">等                             </w:t>
            </w:r>
            <w:r>
              <w:rPr>
                <w:color w:val="FF0000"/>
              </w:rPr>
              <w:t xml:space="preserve">   </w:t>
            </w:r>
            <w:r>
              <w:rPr>
                <w:rFonts w:hint="eastAsia"/>
                <w:color w:val="FF0000"/>
              </w:rPr>
              <w:t xml:space="preserve"> 调查日期：20</w:t>
            </w:r>
            <w:r>
              <w:rPr>
                <w:rFonts w:hint="eastAsia"/>
                <w:color w:val="FF0000"/>
                <w:lang w:val="en-US" w:eastAsia="zh-CN"/>
              </w:rPr>
              <w:t>21</w:t>
            </w:r>
            <w:r>
              <w:rPr>
                <w:rFonts w:hint="eastAsia"/>
                <w:color w:val="FF0000"/>
              </w:rPr>
              <w:t>.</w:t>
            </w:r>
            <w:r>
              <w:rPr>
                <w:rFonts w:hint="eastAsia"/>
                <w:color w:val="FF0000"/>
                <w:lang w:val="en-US" w:eastAsia="zh-CN"/>
              </w:rPr>
              <w:t>6</w:t>
            </w:r>
            <w:r>
              <w:rPr>
                <w:rFonts w:hint="eastAsia"/>
                <w:color w:val="FF0000"/>
              </w:rPr>
              <w:t>.</w:t>
            </w:r>
            <w:r>
              <w:rPr>
                <w:rFonts w:hint="eastAsia"/>
                <w:color w:val="FF0000"/>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种号</w:t>
            </w:r>
          </w:p>
        </w:tc>
        <w:tc>
          <w:tcPr>
            <w:tcW w:w="1312" w:type="dxa"/>
            <w:tcBorders>
              <w:tl2br w:val="nil"/>
              <w:tr2bl w:val="nil"/>
            </w:tcBorders>
            <w:shd w:val="clear" w:color="auto" w:fill="auto"/>
            <w:noWrap/>
            <w:vAlign w:val="center"/>
          </w:tcPr>
          <w:p>
            <w:pPr>
              <w:pStyle w:val="52"/>
              <w:spacing w:line="0" w:lineRule="atLeast"/>
              <w:rPr>
                <w:color w:val="FF0000"/>
              </w:rPr>
            </w:pPr>
            <w:r>
              <w:rPr>
                <w:rFonts w:hint="eastAsia"/>
                <w:color w:val="FF0000"/>
              </w:rPr>
              <w:t>中文名</w:t>
            </w:r>
          </w:p>
        </w:tc>
        <w:tc>
          <w:tcPr>
            <w:tcW w:w="2547" w:type="dxa"/>
            <w:tcBorders>
              <w:tl2br w:val="nil"/>
              <w:tr2bl w:val="nil"/>
            </w:tcBorders>
            <w:shd w:val="clear" w:color="auto" w:fill="auto"/>
            <w:noWrap/>
            <w:vAlign w:val="center"/>
          </w:tcPr>
          <w:p>
            <w:pPr>
              <w:pStyle w:val="52"/>
              <w:spacing w:line="0" w:lineRule="atLeast"/>
              <w:rPr>
                <w:color w:val="FF0000"/>
              </w:rPr>
            </w:pPr>
            <w:r>
              <w:rPr>
                <w:rFonts w:hint="eastAsia"/>
                <w:color w:val="FF0000"/>
              </w:rPr>
              <w:t>拉丁名</w:t>
            </w:r>
          </w:p>
        </w:tc>
        <w:tc>
          <w:tcPr>
            <w:tcW w:w="567" w:type="dxa"/>
            <w:tcBorders>
              <w:tl2br w:val="nil"/>
              <w:tr2bl w:val="nil"/>
            </w:tcBorders>
            <w:shd w:val="clear" w:color="auto" w:fill="auto"/>
            <w:noWrap/>
            <w:vAlign w:val="center"/>
          </w:tcPr>
          <w:p>
            <w:pPr>
              <w:pStyle w:val="52"/>
              <w:spacing w:line="0" w:lineRule="atLeast"/>
              <w:rPr>
                <w:color w:val="FF0000"/>
              </w:rPr>
            </w:pPr>
            <w:r>
              <w:rPr>
                <w:rFonts w:hint="eastAsia"/>
                <w:color w:val="FF0000"/>
              </w:rPr>
              <w:t>物候期</w:t>
            </w:r>
          </w:p>
        </w:tc>
        <w:tc>
          <w:tcPr>
            <w:tcW w:w="708" w:type="dxa"/>
            <w:tcBorders>
              <w:tl2br w:val="nil"/>
              <w:tr2bl w:val="nil"/>
            </w:tcBorders>
            <w:shd w:val="clear" w:color="auto" w:fill="auto"/>
            <w:noWrap/>
            <w:vAlign w:val="center"/>
          </w:tcPr>
          <w:p>
            <w:pPr>
              <w:pStyle w:val="52"/>
              <w:spacing w:line="0" w:lineRule="atLeast"/>
              <w:rPr>
                <w:color w:val="FF0000"/>
              </w:rPr>
            </w:pPr>
            <w:r>
              <w:rPr>
                <w:rFonts w:hint="eastAsia"/>
                <w:color w:val="FF0000"/>
              </w:rPr>
              <w:t>株(丛)数</w:t>
            </w:r>
          </w:p>
        </w:tc>
        <w:tc>
          <w:tcPr>
            <w:tcW w:w="853" w:type="dxa"/>
            <w:tcBorders>
              <w:tl2br w:val="nil"/>
              <w:tr2bl w:val="nil"/>
            </w:tcBorders>
            <w:shd w:val="clear" w:color="auto" w:fill="auto"/>
            <w:noWrap/>
            <w:vAlign w:val="center"/>
          </w:tcPr>
          <w:p>
            <w:pPr>
              <w:pStyle w:val="52"/>
              <w:spacing w:line="0" w:lineRule="atLeast"/>
              <w:rPr>
                <w:color w:val="FF0000"/>
              </w:rPr>
            </w:pPr>
            <w:r>
              <w:rPr>
                <w:rFonts w:hint="eastAsia"/>
                <w:color w:val="FF0000"/>
              </w:rPr>
              <w:t>丛幅</w:t>
            </w:r>
          </w:p>
        </w:tc>
        <w:tc>
          <w:tcPr>
            <w:tcW w:w="1012" w:type="dxa"/>
            <w:tcBorders>
              <w:tl2br w:val="nil"/>
              <w:tr2bl w:val="nil"/>
            </w:tcBorders>
            <w:shd w:val="clear" w:color="auto" w:fill="auto"/>
            <w:noWrap/>
            <w:vAlign w:val="center"/>
          </w:tcPr>
          <w:p>
            <w:pPr>
              <w:pStyle w:val="52"/>
              <w:spacing w:line="0" w:lineRule="atLeast"/>
              <w:rPr>
                <w:color w:val="FF0000"/>
              </w:rPr>
            </w:pPr>
            <w:r>
              <w:rPr>
                <w:rFonts w:hint="eastAsia"/>
                <w:color w:val="FF0000"/>
              </w:rPr>
              <w:t>平均高度/cm</w:t>
            </w:r>
          </w:p>
        </w:tc>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lang w:val="en-US" w:eastAsia="zh-CN"/>
              </w:rPr>
            </w:pPr>
            <w:r>
              <w:rPr>
                <w:rFonts w:hint="eastAsia"/>
                <w:color w:val="FF0000"/>
                <w:lang w:val="en-US" w:eastAsia="zh-CN"/>
              </w:rPr>
              <w:t>1</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lang w:val="en-US" w:eastAsia="zh-CN"/>
              </w:rPr>
            </w:pPr>
            <w:r>
              <w:rPr>
                <w:rFonts w:hint="eastAsia"/>
                <w:color w:val="FF0000"/>
                <w:lang w:val="en-US" w:eastAsia="zh-CN"/>
              </w:rPr>
              <w:t>小叶锦鸡儿</w:t>
            </w:r>
          </w:p>
        </w:tc>
        <w:tc>
          <w:tcPr>
            <w:tcW w:w="2547" w:type="dxa"/>
            <w:tcBorders>
              <w:tl2br w:val="nil"/>
              <w:tr2bl w:val="nil"/>
            </w:tcBorders>
            <w:shd w:val="clear" w:color="auto" w:fill="auto"/>
            <w:noWrap/>
            <w:vAlign w:val="center"/>
          </w:tcPr>
          <w:p>
            <w:pPr>
              <w:pStyle w:val="52"/>
              <w:spacing w:line="0" w:lineRule="atLeast"/>
              <w:rPr>
                <w:rFonts w:hint="eastAsia"/>
                <w:color w:val="FF0000"/>
              </w:rPr>
            </w:pPr>
            <w:r>
              <w:rPr>
                <w:i/>
                <w:color w:val="FF0000"/>
              </w:rPr>
              <w:t>Caragana microphylla</w:t>
            </w:r>
            <w:r>
              <w:rPr>
                <w:color w:val="FF0000"/>
              </w:rPr>
              <w:t xml:space="preserve"> Lam.</w:t>
            </w:r>
          </w:p>
        </w:tc>
        <w:tc>
          <w:tcPr>
            <w:tcW w:w="567" w:type="dxa"/>
            <w:tcBorders>
              <w:tl2br w:val="nil"/>
              <w:tr2bl w:val="nil"/>
            </w:tcBorders>
            <w:shd w:val="clear" w:color="auto" w:fill="auto"/>
            <w:noWrap/>
            <w:vAlign w:val="center"/>
          </w:tcPr>
          <w:p>
            <w:pPr>
              <w:pStyle w:val="52"/>
              <w:spacing w:line="0" w:lineRule="atLeast"/>
              <w:rPr>
                <w:rFonts w:hint="eastAsia"/>
                <w:color w:val="FF0000"/>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lang w:val="en-US" w:eastAsia="zh-CN"/>
              </w:rPr>
              <w:t>15</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lang w:val="en-US" w:eastAsia="zh-CN"/>
              </w:rPr>
              <w:t>33</w:t>
            </w:r>
            <w:r>
              <w:rPr>
                <w:color w:val="FF0000"/>
                <w:highlight w:val="none"/>
              </w:rPr>
              <w:t>*</w:t>
            </w:r>
            <w:r>
              <w:rPr>
                <w:rFonts w:hint="eastAsia"/>
                <w:color w:val="FF0000"/>
                <w:highlight w:val="none"/>
                <w:lang w:val="en-US" w:eastAsia="zh-CN"/>
              </w:rPr>
              <w:t>38</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lang w:val="en-US" w:eastAsia="zh-CN"/>
              </w:rPr>
              <w:t>25</w:t>
            </w:r>
          </w:p>
        </w:tc>
        <w:tc>
          <w:tcPr>
            <w:tcW w:w="0" w:type="auto"/>
            <w:tcBorders>
              <w:tl2br w:val="nil"/>
              <w:tr2bl w:val="nil"/>
            </w:tcBorders>
            <w:shd w:val="clear" w:color="auto" w:fill="auto"/>
            <w:noWrap/>
            <w:vAlign w:val="center"/>
          </w:tcPr>
          <w:p>
            <w:pPr>
              <w:pStyle w:val="52"/>
              <w:spacing w:line="0" w:lineRule="atLeast"/>
              <w:rPr>
                <w:rFonts w:hint="eastAsia"/>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lang w:val="en-US" w:eastAsia="zh-CN"/>
              </w:rPr>
              <w:t>2</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highlight w:val="none"/>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45</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4</w:t>
            </w:r>
            <w:r>
              <w:rPr>
                <w:color w:val="FF0000"/>
                <w:highlight w:val="none"/>
              </w:rPr>
              <w:t>*</w:t>
            </w:r>
            <w:r>
              <w:rPr>
                <w:rFonts w:hint="eastAsia"/>
                <w:color w:val="FF0000"/>
                <w:highlight w:val="none"/>
                <w:lang w:val="en-US" w:eastAsia="zh-CN"/>
              </w:rPr>
              <w:t>6</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14</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3</w:t>
            </w:r>
          </w:p>
        </w:tc>
        <w:tc>
          <w:tcPr>
            <w:tcW w:w="1312" w:type="dxa"/>
            <w:tcBorders>
              <w:tl2br w:val="nil"/>
              <w:tr2bl w:val="nil"/>
            </w:tcBorders>
            <w:shd w:val="clear" w:color="auto" w:fill="auto"/>
            <w:noWrap/>
            <w:vAlign w:val="center"/>
          </w:tcPr>
          <w:p>
            <w:pPr>
              <w:pStyle w:val="52"/>
              <w:spacing w:line="0" w:lineRule="atLeast"/>
              <w:rPr>
                <w:rFonts w:hint="eastAsia"/>
                <w:color w:val="FF0000"/>
                <w:highlight w:val="none"/>
              </w:rPr>
            </w:pPr>
            <w:r>
              <w:rPr>
                <w:rFonts w:hint="eastAsia" w:eastAsia="宋体"/>
                <w:color w:val="FF0000"/>
                <w:highlight w:val="none"/>
                <w:lang w:val="en-US" w:eastAsia="zh-CN"/>
              </w:rPr>
              <w:t>疾藜</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rFonts w:hint="default"/>
                <w:i/>
                <w:color w:val="FF0000"/>
                <w:highlight w:val="none"/>
              </w:rPr>
              <w:t>TribulusterresterL.</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315</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4</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银灰旋花</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Convolvulus ammannii Desr.</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15</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7</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5</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砾苔草</w:t>
            </w:r>
          </w:p>
        </w:tc>
        <w:tc>
          <w:tcPr>
            <w:tcW w:w="2547" w:type="dxa"/>
            <w:tcBorders>
              <w:tl2br w:val="nil"/>
              <w:tr2bl w:val="nil"/>
            </w:tcBorders>
            <w:shd w:val="clear" w:color="auto" w:fill="auto"/>
            <w:noWrap/>
            <w:vAlign w:val="center"/>
          </w:tcPr>
          <w:p>
            <w:pPr>
              <w:pStyle w:val="52"/>
              <w:spacing w:line="0" w:lineRule="atLeast"/>
              <w:rPr>
                <w:b/>
                <w:bCs/>
                <w:i/>
                <w:color w:val="FF0000"/>
                <w:highlight w:val="none"/>
              </w:rPr>
            </w:pPr>
            <w:r>
              <w:rPr>
                <w:b w:val="0"/>
                <w:bCs w:val="0"/>
                <w:i/>
                <w:color w:val="FF0000"/>
                <w:highlight w:val="none"/>
              </w:rPr>
              <w:t>Carex stenophylloides V. Krecz.</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265</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17</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eastAsia="zh-CN"/>
        </w:rPr>
      </w:pPr>
      <w:r>
        <w:rPr>
          <w:rFonts w:hint="eastAsia" w:eastAsia="宋体"/>
          <w:color w:val="FF0000"/>
          <w:highlight w:val="none"/>
          <w:lang w:eastAsia="zh-CN"/>
        </w:rPr>
        <w:drawing>
          <wp:inline distT="0" distB="0" distL="114300" distR="114300">
            <wp:extent cx="5266690" cy="3950335"/>
            <wp:effectExtent l="0" t="0" r="10160" b="12065"/>
            <wp:docPr id="79" name="图片 79" descr="b0269efd70a67a1436390bf837e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0269efd70a67a1436390bf837ef07d"/>
                    <pic:cNvPicPr>
                      <a:picLocks noChangeAspect="1"/>
                    </pic:cNvPicPr>
                  </pic:nvPicPr>
                  <pic:blipFill>
                    <a:blip r:embed="rId43"/>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val="en-US" w:eastAsia="zh-CN"/>
        </w:rPr>
        <w:t xml:space="preserve">图4.2-4  </w:t>
      </w:r>
      <w:r>
        <w:rPr>
          <w:rFonts w:hint="eastAsia" w:eastAsia="宋体"/>
          <w:b/>
          <w:bCs/>
          <w:color w:val="FF0000"/>
          <w:highlight w:val="none"/>
          <w:lang w:eastAsia="zh-CN"/>
        </w:rPr>
        <w:t>样方</w:t>
      </w:r>
      <w:r>
        <w:rPr>
          <w:rFonts w:hint="eastAsia" w:eastAsia="宋体"/>
          <w:b/>
          <w:bCs/>
          <w:color w:val="FF0000"/>
          <w:highlight w:val="none"/>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highlight w:val="none"/>
          <w:lang w:val="en-US" w:eastAsia="zh-CN"/>
        </w:rPr>
      </w:pPr>
      <w:r>
        <w:rPr>
          <w:rFonts w:hint="eastAsia" w:eastAsia="宋体"/>
          <w:color w:val="auto"/>
          <w:highlight w:val="none"/>
          <w:lang w:val="en-US" w:eastAsia="zh-CN"/>
        </w:rPr>
        <w:t>（3）植被类型遥感分析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采取以实地调查为主，遥感解译为辅，结合对当地技术人员、管理部门、农民等访问调查，了解评价范围内自然生态现状及近几年评价区土地利用、水土流失、生态建设的规划等，在卫星影像图的基础上，结合实地调查，取得地形地貌、土地利用现状、植被组成等资料，最后绘制评价区相关生态图件和数据统计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利用卫星遥感及地理信息系统技术并结合地面实际调查，对矿</w:t>
      </w:r>
      <w:r>
        <w:rPr>
          <w:rFonts w:hint="eastAsia" w:eastAsia="宋体"/>
          <w:color w:val="auto"/>
          <w:highlight w:val="none"/>
          <w:lang w:val="en-US" w:eastAsia="zh-CN"/>
        </w:rPr>
        <w:t>区</w:t>
      </w:r>
      <w:r>
        <w:rPr>
          <w:rFonts w:hint="eastAsia" w:eastAsia="宋体"/>
          <w:color w:val="auto"/>
          <w:highlight w:val="none"/>
          <w:lang w:eastAsia="zh-CN"/>
        </w:rPr>
        <w:t>边界外扩1km范围内的植被分布现状进行调查，评价范围内分布的植被类型主要是草地植被，主要为小针茅、</w:t>
      </w:r>
      <w:r>
        <w:rPr>
          <w:rFonts w:hint="eastAsia" w:eastAsia="宋体"/>
          <w:color w:val="auto"/>
          <w:highlight w:val="none"/>
          <w:lang w:val="en-US" w:eastAsia="zh-CN"/>
        </w:rPr>
        <w:t>小</w:t>
      </w:r>
      <w:r>
        <w:rPr>
          <w:rFonts w:hint="eastAsia" w:eastAsia="宋体"/>
          <w:color w:val="auto"/>
          <w:highlight w:val="none"/>
          <w:lang w:eastAsia="zh-CN"/>
        </w:rPr>
        <w:t>叶锦鸡儿、</w:t>
      </w:r>
      <w:r>
        <w:rPr>
          <w:rFonts w:hint="eastAsia" w:eastAsia="宋体"/>
          <w:color w:val="auto"/>
          <w:highlight w:val="none"/>
          <w:lang w:val="en-US" w:eastAsia="zh-CN"/>
        </w:rPr>
        <w:t>冷蒿</w:t>
      </w:r>
      <w:r>
        <w:rPr>
          <w:rFonts w:hint="eastAsia" w:eastAsia="宋体"/>
          <w:color w:val="auto"/>
          <w:highlight w:val="none"/>
          <w:lang w:eastAsia="zh-CN"/>
        </w:rPr>
        <w:t>等。评价区内植被类型特征见表</w:t>
      </w:r>
      <w:r>
        <w:rPr>
          <w:rFonts w:hint="eastAsia" w:eastAsia="宋体"/>
          <w:color w:val="auto"/>
          <w:highlight w:val="none"/>
          <w:lang w:val="en-US" w:eastAsia="zh-CN"/>
        </w:rPr>
        <w:t>4.2-15</w:t>
      </w:r>
      <w:r>
        <w:rPr>
          <w:rFonts w:hint="eastAsia" w:eastAsia="宋体"/>
          <w:color w:val="auto"/>
          <w:highlight w:val="none"/>
          <w:lang w:eastAsia="zh-CN"/>
        </w:rPr>
        <w:t>和</w:t>
      </w:r>
      <w:r>
        <w:rPr>
          <w:rFonts w:hint="eastAsia" w:eastAsia="宋体"/>
          <w:color w:val="auto"/>
          <w:highlight w:val="none"/>
          <w:lang w:val="en-US" w:eastAsia="zh-CN"/>
        </w:rPr>
        <w:t>附图10</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FF0000"/>
          <w:highlight w:val="none"/>
          <w:lang w:eastAsia="zh-CN"/>
        </w:rPr>
      </w:pPr>
      <w:r>
        <w:rPr>
          <w:rFonts w:hint="eastAsia" w:eastAsia="宋体"/>
          <w:color w:val="FF0000"/>
          <w:highlight w:val="none"/>
          <w:lang w:eastAsia="zh-CN"/>
        </w:rPr>
        <w:t>结合表</w:t>
      </w:r>
      <w:r>
        <w:rPr>
          <w:rFonts w:hint="eastAsia" w:eastAsia="宋体"/>
          <w:color w:val="FF0000"/>
          <w:highlight w:val="none"/>
          <w:lang w:val="en-US" w:eastAsia="zh-CN"/>
        </w:rPr>
        <w:t>4.2-15</w:t>
      </w:r>
      <w:r>
        <w:rPr>
          <w:rFonts w:hint="eastAsia" w:eastAsia="宋体"/>
          <w:color w:val="FF0000"/>
          <w:highlight w:val="none"/>
          <w:lang w:eastAsia="zh-CN"/>
        </w:rPr>
        <w:t>和</w:t>
      </w:r>
      <w:r>
        <w:rPr>
          <w:rFonts w:hint="eastAsia" w:eastAsia="宋体"/>
          <w:color w:val="FF0000"/>
          <w:highlight w:val="none"/>
          <w:lang w:val="en-US" w:eastAsia="zh-CN"/>
        </w:rPr>
        <w:t>附图5</w:t>
      </w:r>
      <w:r>
        <w:rPr>
          <w:rFonts w:hint="eastAsia" w:eastAsia="宋体"/>
          <w:color w:val="FF0000"/>
          <w:highlight w:val="none"/>
          <w:lang w:eastAsia="zh-CN"/>
        </w:rPr>
        <w:t>可知，评价区内主要植被为</w:t>
      </w:r>
      <w:r>
        <w:rPr>
          <w:rFonts w:hint="eastAsia" w:eastAsia="宋体"/>
          <w:color w:val="FF0000"/>
          <w:highlight w:val="none"/>
          <w:lang w:val="en-US" w:eastAsia="zh-CN"/>
        </w:rPr>
        <w:t>小针茅</w:t>
      </w:r>
      <w:r>
        <w:rPr>
          <w:rFonts w:hint="eastAsia" w:eastAsia="宋体"/>
          <w:color w:val="FF0000"/>
          <w:highlight w:val="none"/>
          <w:lang w:eastAsia="zh-CN"/>
        </w:rPr>
        <w:t>，主要物种有小针茅、</w:t>
      </w:r>
      <w:r>
        <w:rPr>
          <w:rFonts w:hint="eastAsia" w:eastAsia="宋体"/>
          <w:color w:val="FF0000"/>
          <w:highlight w:val="none"/>
          <w:lang w:val="en-US" w:eastAsia="zh-CN"/>
        </w:rPr>
        <w:t>小</w:t>
      </w:r>
      <w:r>
        <w:rPr>
          <w:rFonts w:hint="eastAsia" w:eastAsia="宋体"/>
          <w:color w:val="FF0000"/>
          <w:highlight w:val="none"/>
          <w:lang w:eastAsia="zh-CN"/>
        </w:rPr>
        <w:t>叶锦鸡儿、</w:t>
      </w:r>
      <w:r>
        <w:rPr>
          <w:rFonts w:hint="eastAsia" w:eastAsia="宋体"/>
          <w:color w:val="FF0000"/>
          <w:highlight w:val="none"/>
          <w:lang w:val="en-US" w:eastAsia="zh-CN"/>
        </w:rPr>
        <w:t>冷蒿</w:t>
      </w:r>
      <w:r>
        <w:rPr>
          <w:rFonts w:hint="eastAsia" w:eastAsia="宋体"/>
          <w:color w:val="FF0000"/>
          <w:highlight w:val="none"/>
          <w:lang w:eastAsia="zh-CN"/>
        </w:rPr>
        <w:t>等，占地面积达8</w:t>
      </w:r>
      <w:r>
        <w:rPr>
          <w:rFonts w:hint="eastAsia" w:eastAsia="宋体"/>
          <w:color w:val="FF0000"/>
          <w:highlight w:val="none"/>
          <w:lang w:val="en-US" w:eastAsia="zh-CN"/>
        </w:rPr>
        <w:t>5.73</w:t>
      </w:r>
      <w:r>
        <w:rPr>
          <w:rFonts w:hint="eastAsia" w:eastAsia="宋体"/>
          <w:color w:val="FF0000"/>
          <w:highlight w:val="none"/>
          <w:lang w:eastAsia="zh-CN"/>
        </w:rPr>
        <w:t>%；工矿企业及</w:t>
      </w:r>
      <w:r>
        <w:rPr>
          <w:rFonts w:hint="eastAsia" w:eastAsia="宋体"/>
          <w:color w:val="FF0000"/>
          <w:highlight w:val="none"/>
          <w:lang w:val="en-US" w:eastAsia="zh-CN"/>
        </w:rPr>
        <w:t>公路</w:t>
      </w:r>
      <w:r>
        <w:rPr>
          <w:rFonts w:hint="eastAsia" w:eastAsia="宋体"/>
          <w:color w:val="FF0000"/>
          <w:highlight w:val="none"/>
          <w:lang w:eastAsia="zh-CN"/>
        </w:rPr>
        <w:t>用地占地面积为</w:t>
      </w:r>
      <w:r>
        <w:rPr>
          <w:rFonts w:hint="eastAsia" w:eastAsia="宋体"/>
          <w:color w:val="FF0000"/>
          <w:highlight w:val="none"/>
          <w:lang w:val="en-US" w:eastAsia="zh-CN"/>
        </w:rPr>
        <w:t>4.9</w:t>
      </w:r>
      <w:r>
        <w:rPr>
          <w:rFonts w:hint="eastAsia" w:eastAsia="宋体"/>
          <w:color w:val="FF0000"/>
          <w:highlight w:val="none"/>
          <w:lang w:eastAsia="zh-CN"/>
        </w:rPr>
        <w:t>%，</w:t>
      </w:r>
      <w:r>
        <w:rPr>
          <w:rFonts w:hint="eastAsia" w:eastAsia="宋体"/>
          <w:color w:val="FF0000"/>
          <w:highlight w:val="none"/>
          <w:lang w:val="en-US" w:eastAsia="zh-CN"/>
        </w:rPr>
        <w:t>裸岩占地面积为9.37%</w:t>
      </w:r>
      <w:r>
        <w:rPr>
          <w:rFonts w:hint="eastAsia" w:eastAsia="宋体"/>
          <w:color w:val="FF0000"/>
          <w:highlight w:val="none"/>
          <w:lang w:eastAsia="zh-CN"/>
        </w:rPr>
        <w:t>。</w:t>
      </w:r>
    </w:p>
    <w:p>
      <w:pPr>
        <w:pStyle w:val="51"/>
        <w:spacing w:before="163" w:after="163"/>
        <w:rPr>
          <w:color w:val="FF0000"/>
        </w:rPr>
      </w:pPr>
      <w:r>
        <w:rPr>
          <w:rFonts w:hint="eastAsia"/>
          <w:color w:val="FF0000"/>
        </w:rPr>
        <w:t>表</w:t>
      </w:r>
      <w:r>
        <w:rPr>
          <w:rFonts w:hint="eastAsia"/>
          <w:color w:val="FF0000"/>
          <w:lang w:val="en-US" w:eastAsia="zh-CN"/>
        </w:rPr>
        <w:t>4.2-15</w:t>
      </w:r>
      <w:r>
        <w:rPr>
          <w:rFonts w:hint="eastAsia"/>
          <w:color w:val="FF0000"/>
        </w:rPr>
        <w:t xml:space="preserve">   评价区内植被类型特征表</w:t>
      </w:r>
    </w:p>
    <w:tbl>
      <w:tblPr>
        <w:tblStyle w:val="35"/>
        <w:tblW w:w="765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2398"/>
        <w:gridCol w:w="2157"/>
        <w:gridCol w:w="18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序号</w:t>
            </w:r>
          </w:p>
        </w:tc>
        <w:tc>
          <w:tcPr>
            <w:tcW w:w="2398" w:type="dxa"/>
            <w:tcBorders>
              <w:tl2br w:val="nil"/>
              <w:tr2bl w:val="nil"/>
            </w:tcBorders>
            <w:shd w:val="clear" w:color="auto" w:fill="auto"/>
            <w:noWrap/>
            <w:vAlign w:val="center"/>
          </w:tcPr>
          <w:p>
            <w:pPr>
              <w:pStyle w:val="52"/>
              <w:rPr>
                <w:color w:val="FF0000"/>
              </w:rPr>
            </w:pPr>
            <w:r>
              <w:rPr>
                <w:rFonts w:hint="eastAsia"/>
                <w:color w:val="FF0000"/>
              </w:rPr>
              <w:t>类型</w:t>
            </w:r>
          </w:p>
        </w:tc>
        <w:tc>
          <w:tcPr>
            <w:tcW w:w="2157" w:type="dxa"/>
            <w:tcBorders>
              <w:tl2br w:val="nil"/>
              <w:tr2bl w:val="nil"/>
            </w:tcBorders>
            <w:shd w:val="clear" w:color="auto" w:fill="auto"/>
            <w:noWrap/>
            <w:vAlign w:val="center"/>
          </w:tcPr>
          <w:p>
            <w:pPr>
              <w:pStyle w:val="52"/>
              <w:rPr>
                <w:color w:val="FF0000"/>
              </w:rPr>
            </w:pPr>
            <w:r>
              <w:rPr>
                <w:rFonts w:hint="eastAsia"/>
                <w:color w:val="FF0000"/>
              </w:rPr>
              <w:t>总面积（</w:t>
            </w:r>
            <w:r>
              <w:rPr>
                <w:rFonts w:hint="eastAsia"/>
                <w:color w:val="FF0000"/>
                <w:lang w:val="en-US" w:eastAsia="zh-CN"/>
              </w:rPr>
              <w:t>h</w:t>
            </w:r>
            <w:r>
              <w:rPr>
                <w:rFonts w:hint="eastAsia"/>
                <w:color w:val="FF0000"/>
              </w:rPr>
              <w:t>m</w:t>
            </w:r>
            <w:r>
              <w:rPr>
                <w:rFonts w:hint="eastAsia"/>
                <w:color w:val="FF0000"/>
                <w:vertAlign w:val="superscript"/>
              </w:rPr>
              <w:t>2</w:t>
            </w:r>
            <w:r>
              <w:rPr>
                <w:rFonts w:hint="eastAsia"/>
                <w:color w:val="FF0000"/>
              </w:rPr>
              <w:t>）</w:t>
            </w:r>
          </w:p>
        </w:tc>
        <w:tc>
          <w:tcPr>
            <w:tcW w:w="1842" w:type="dxa"/>
            <w:tcBorders>
              <w:tl2br w:val="nil"/>
              <w:tr2bl w:val="nil"/>
            </w:tcBorders>
            <w:shd w:val="clear" w:color="auto" w:fill="auto"/>
            <w:noWrap/>
            <w:vAlign w:val="center"/>
          </w:tcPr>
          <w:p>
            <w:pPr>
              <w:pStyle w:val="52"/>
              <w:rPr>
                <w:color w:val="FF0000"/>
              </w:rPr>
            </w:pPr>
            <w:r>
              <w:rPr>
                <w:rFonts w:hint="eastAsia"/>
                <w:color w:val="FF0000"/>
              </w:rPr>
              <w:t>所占比例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1</w:t>
            </w:r>
          </w:p>
        </w:tc>
        <w:tc>
          <w:tcPr>
            <w:tcW w:w="2398"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rPr>
              <w:t>小针茅群</w:t>
            </w:r>
            <w:r>
              <w:rPr>
                <w:rFonts w:hint="eastAsia"/>
                <w:color w:val="FF0000"/>
                <w:lang w:val="en-US" w:eastAsia="zh-CN"/>
              </w:rPr>
              <w:t>落</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390.79</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84.69</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2</w:t>
            </w:r>
          </w:p>
        </w:tc>
        <w:tc>
          <w:tcPr>
            <w:tcW w:w="2398" w:type="dxa"/>
            <w:tcBorders>
              <w:tl2br w:val="nil"/>
              <w:tr2bl w:val="nil"/>
            </w:tcBorders>
            <w:shd w:val="clear" w:color="auto" w:fill="auto"/>
            <w:noWrap/>
            <w:vAlign w:val="center"/>
          </w:tcPr>
          <w:p>
            <w:pPr>
              <w:pStyle w:val="52"/>
              <w:rPr>
                <w:color w:val="FF0000"/>
              </w:rPr>
            </w:pPr>
            <w:r>
              <w:rPr>
                <w:rFonts w:hint="eastAsia"/>
                <w:color w:val="FF0000"/>
                <w:lang w:val="en-US" w:eastAsia="zh-CN"/>
              </w:rPr>
              <w:t>芨芨草群落</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4.80</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1.04</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3</w:t>
            </w:r>
          </w:p>
        </w:tc>
        <w:tc>
          <w:tcPr>
            <w:tcW w:w="2398"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lang w:val="en-US" w:eastAsia="zh-CN"/>
              </w:rPr>
              <w:t>裸岩</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43.22</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9.37</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w:t>
            </w:r>
          </w:p>
        </w:tc>
        <w:tc>
          <w:tcPr>
            <w:tcW w:w="2398" w:type="dxa"/>
            <w:tcBorders>
              <w:tl2br w:val="nil"/>
              <w:tr2bl w:val="nil"/>
            </w:tcBorders>
            <w:shd w:val="clear" w:color="auto" w:fill="auto"/>
            <w:noWrap/>
            <w:vAlign w:val="center"/>
          </w:tcPr>
          <w:p>
            <w:pPr>
              <w:pStyle w:val="52"/>
              <w:rPr>
                <w:color w:val="FF0000"/>
              </w:rPr>
            </w:pPr>
            <w:r>
              <w:rPr>
                <w:rFonts w:hint="eastAsia"/>
                <w:color w:val="FF0000"/>
              </w:rPr>
              <w:t>采矿用地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12.33</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2.67</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5</w:t>
            </w:r>
          </w:p>
        </w:tc>
        <w:tc>
          <w:tcPr>
            <w:tcW w:w="2398" w:type="dxa"/>
            <w:tcBorders>
              <w:tl2br w:val="nil"/>
              <w:tr2bl w:val="nil"/>
            </w:tcBorders>
            <w:shd w:val="clear" w:color="auto" w:fill="auto"/>
            <w:noWrap/>
            <w:vAlign w:val="center"/>
          </w:tcPr>
          <w:p>
            <w:pPr>
              <w:pStyle w:val="52"/>
              <w:rPr>
                <w:color w:val="FF0000"/>
              </w:rPr>
            </w:pPr>
            <w:r>
              <w:rPr>
                <w:rFonts w:hint="eastAsia"/>
                <w:color w:val="FF0000"/>
              </w:rPr>
              <w:t>公路用地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10.31</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2.23</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lang w:val="en-US" w:eastAsia="zh-CN"/>
              </w:rPr>
              <w:t>6</w:t>
            </w:r>
          </w:p>
        </w:tc>
        <w:tc>
          <w:tcPr>
            <w:tcW w:w="2398" w:type="dxa"/>
            <w:tcBorders>
              <w:tl2br w:val="nil"/>
              <w:tr2bl w:val="nil"/>
            </w:tcBorders>
            <w:shd w:val="clear" w:color="auto" w:fill="auto"/>
            <w:noWrap/>
            <w:vAlign w:val="center"/>
          </w:tcPr>
          <w:p>
            <w:pPr>
              <w:pStyle w:val="52"/>
              <w:rPr>
                <w:color w:val="FF0000"/>
              </w:rPr>
            </w:pPr>
            <w:r>
              <w:rPr>
                <w:rFonts w:hint="eastAsia"/>
                <w:color w:val="FF0000"/>
              </w:rPr>
              <w:t>总计</w:t>
            </w:r>
          </w:p>
        </w:tc>
        <w:tc>
          <w:tcPr>
            <w:tcW w:w="2157"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rPr>
              <w:t>461.4</w:t>
            </w:r>
            <w:r>
              <w:rPr>
                <w:rFonts w:hint="eastAsia"/>
                <w:color w:val="FF0000"/>
                <w:lang w:val="en-US" w:eastAsia="zh-CN"/>
              </w:rPr>
              <w:t>5</w:t>
            </w:r>
          </w:p>
        </w:tc>
        <w:tc>
          <w:tcPr>
            <w:tcW w:w="1842" w:type="dxa"/>
            <w:tcBorders>
              <w:tl2br w:val="nil"/>
              <w:tr2bl w:val="nil"/>
            </w:tcBorders>
            <w:shd w:val="clear" w:color="auto" w:fill="auto"/>
            <w:noWrap/>
            <w:vAlign w:val="center"/>
          </w:tcPr>
          <w:p>
            <w:pPr>
              <w:pStyle w:val="52"/>
              <w:rPr>
                <w:color w:val="FF0000"/>
              </w:rPr>
            </w:pPr>
            <w:r>
              <w:rPr>
                <w:rFonts w:hint="eastAsia"/>
                <w:color w:val="FF0000"/>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FF0000"/>
          <w:highlight w:val="none"/>
          <w:lang w:val="en-US" w:eastAsia="zh-CN"/>
        </w:rPr>
      </w:pPr>
      <w:r>
        <w:rPr>
          <w:rFonts w:hint="eastAsia" w:eastAsia="宋体"/>
          <w:b/>
          <w:bCs/>
          <w:color w:val="FF0000"/>
          <w:highlight w:val="none"/>
          <w:lang w:val="en-US" w:eastAsia="zh-CN"/>
        </w:rPr>
        <w:t>4.2.4.3 土地利用现状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FF0000"/>
          <w:highlight w:val="none"/>
          <w:lang w:eastAsia="zh-CN"/>
        </w:rPr>
      </w:pPr>
      <w:r>
        <w:rPr>
          <w:rFonts w:hint="eastAsia" w:ascii="Times New Roman" w:hAnsi="Times New Roman" w:eastAsia="宋体" w:cs="Times New Roman"/>
          <w:color w:val="FF0000"/>
          <w:highlight w:val="none"/>
          <w:lang w:eastAsia="zh-CN"/>
        </w:rPr>
        <w:t>评价区内土地利用类型主要为</w:t>
      </w:r>
      <w:r>
        <w:rPr>
          <w:rFonts w:hint="eastAsia" w:ascii="Times New Roman" w:hAnsi="Times New Roman" w:eastAsia="宋体" w:cs="Times New Roman"/>
          <w:color w:val="FF0000"/>
          <w:highlight w:val="none"/>
          <w:lang w:val="en-US" w:eastAsia="zh-CN"/>
        </w:rPr>
        <w:t>草地</w:t>
      </w:r>
      <w:r>
        <w:rPr>
          <w:rFonts w:hint="eastAsia" w:ascii="Times New Roman" w:hAnsi="Times New Roman" w:eastAsia="宋体" w:cs="Times New Roman"/>
          <w:color w:val="FF0000"/>
          <w:highlight w:val="none"/>
          <w:lang w:eastAsia="zh-CN"/>
        </w:rPr>
        <w:t>。参照全国土地利用现状分类系统及土地利用资料，根据卫星遥感、结合实地调查分析，将评价区土地利用情况划分为</w:t>
      </w:r>
      <w:r>
        <w:rPr>
          <w:rFonts w:hint="eastAsia" w:ascii="Times New Roman" w:hAnsi="Times New Roman" w:eastAsia="宋体" w:cs="Times New Roman"/>
          <w:color w:val="FF0000"/>
          <w:highlight w:val="none"/>
          <w:lang w:val="en-US" w:eastAsia="zh-CN"/>
        </w:rPr>
        <w:t>草地</w:t>
      </w:r>
      <w:r>
        <w:rPr>
          <w:rFonts w:hint="eastAsia" w:ascii="Times New Roman" w:hAnsi="Times New Roman" w:eastAsia="宋体" w:cs="Times New Roman"/>
          <w:color w:val="FF0000"/>
          <w:highlight w:val="none"/>
          <w:lang w:eastAsia="zh-CN"/>
        </w:rPr>
        <w:t>、采矿用地以及</w:t>
      </w:r>
      <w:r>
        <w:rPr>
          <w:rFonts w:hint="eastAsia" w:ascii="Times New Roman" w:hAnsi="Times New Roman" w:eastAsia="宋体" w:cs="Times New Roman"/>
          <w:color w:val="FF0000"/>
          <w:highlight w:val="none"/>
          <w:lang w:val="en-US" w:eastAsia="zh-CN"/>
        </w:rPr>
        <w:t>公路用地</w:t>
      </w:r>
      <w:r>
        <w:rPr>
          <w:rFonts w:hint="eastAsia" w:ascii="Times New Roman" w:hAnsi="Times New Roman" w:eastAsia="宋体" w:cs="Times New Roman"/>
          <w:color w:val="FF0000"/>
          <w:highlight w:val="none"/>
          <w:lang w:eastAsia="zh-CN"/>
        </w:rPr>
        <w:t>等类型。评价区土地利用类型特征见表</w:t>
      </w:r>
      <w:r>
        <w:rPr>
          <w:rFonts w:hint="eastAsia" w:ascii="Times New Roman" w:hAnsi="Times New Roman" w:eastAsia="宋体" w:cs="Times New Roman"/>
          <w:color w:val="FF0000"/>
          <w:highlight w:val="none"/>
          <w:lang w:val="en-US" w:eastAsia="zh-CN"/>
        </w:rPr>
        <w:t>4.2-16</w:t>
      </w:r>
      <w:r>
        <w:rPr>
          <w:rFonts w:hint="eastAsia" w:ascii="Times New Roman" w:hAnsi="Times New Roman" w:eastAsia="宋体" w:cs="Times New Roman"/>
          <w:color w:val="FF0000"/>
          <w:highlight w:val="none"/>
          <w:lang w:eastAsia="zh-CN"/>
        </w:rPr>
        <w:t>和</w:t>
      </w:r>
      <w:r>
        <w:rPr>
          <w:rFonts w:hint="eastAsia" w:ascii="Times New Roman" w:hAnsi="Times New Roman" w:eastAsia="宋体" w:cs="Times New Roman"/>
          <w:color w:val="FF0000"/>
          <w:highlight w:val="none"/>
          <w:lang w:val="en-US" w:eastAsia="zh-CN"/>
        </w:rPr>
        <w:t>附图</w:t>
      </w:r>
      <w:r>
        <w:rPr>
          <w:rFonts w:hint="eastAsia" w:eastAsia="宋体" w:cs="Times New Roman"/>
          <w:color w:val="FF0000"/>
          <w:highlight w:val="none"/>
          <w:lang w:val="en-US" w:eastAsia="zh-CN"/>
        </w:rPr>
        <w:t>11</w:t>
      </w:r>
      <w:r>
        <w:rPr>
          <w:rFonts w:hint="eastAsia" w:ascii="Times New Roman" w:hAnsi="Times New Roman" w:eastAsia="宋体" w:cs="Times New Roman"/>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FF0000"/>
          <w:highlight w:val="none"/>
          <w:lang w:eastAsia="zh-CN"/>
        </w:rPr>
      </w:pPr>
      <w:r>
        <w:rPr>
          <w:rFonts w:hint="eastAsia" w:ascii="Times New Roman" w:hAnsi="Times New Roman" w:eastAsia="宋体" w:cs="Times New Roman"/>
          <w:color w:val="FF0000"/>
          <w:highlight w:val="none"/>
          <w:lang w:eastAsia="zh-CN"/>
        </w:rPr>
        <w:t>根据实地调查和影像解译，结合《土地利用现状分类》（GB/T21010-2017），重点评价区内土地利用类型主要以</w:t>
      </w:r>
      <w:r>
        <w:rPr>
          <w:rFonts w:hint="eastAsia" w:ascii="Times New Roman" w:hAnsi="Times New Roman" w:eastAsia="宋体" w:cs="Times New Roman"/>
          <w:color w:val="FF0000"/>
          <w:highlight w:val="none"/>
          <w:lang w:val="en-US" w:eastAsia="zh-CN"/>
        </w:rPr>
        <w:t>草地</w:t>
      </w:r>
      <w:r>
        <w:rPr>
          <w:rFonts w:hint="eastAsia" w:ascii="Times New Roman" w:hAnsi="Times New Roman" w:eastAsia="宋体" w:cs="Times New Roman"/>
          <w:color w:val="FF0000"/>
          <w:highlight w:val="none"/>
          <w:lang w:eastAsia="zh-CN"/>
        </w:rPr>
        <w:t>为主，占地面积达</w:t>
      </w:r>
      <w:r>
        <w:rPr>
          <w:rFonts w:hint="eastAsia" w:ascii="Times New Roman" w:hAnsi="Times New Roman" w:eastAsia="宋体" w:cs="Times New Roman"/>
          <w:color w:val="FF0000"/>
          <w:highlight w:val="none"/>
          <w:lang w:val="en-US" w:eastAsia="zh-CN"/>
        </w:rPr>
        <w:t>85.73</w:t>
      </w:r>
      <w:r>
        <w:rPr>
          <w:rFonts w:hint="eastAsia" w:ascii="Times New Roman" w:hAnsi="Times New Roman" w:eastAsia="宋体" w:cs="Times New Roman"/>
          <w:color w:val="FF0000"/>
          <w:highlight w:val="none"/>
          <w:lang w:eastAsia="zh-CN"/>
        </w:rPr>
        <w:t>%，采矿用地占地面积12.</w:t>
      </w:r>
      <w:r>
        <w:rPr>
          <w:rFonts w:hint="eastAsia" w:ascii="Times New Roman" w:hAnsi="Times New Roman" w:eastAsia="宋体" w:cs="Times New Roman"/>
          <w:color w:val="FF0000"/>
          <w:highlight w:val="none"/>
          <w:lang w:val="en-US" w:eastAsia="zh-CN"/>
        </w:rPr>
        <w:t>04</w:t>
      </w:r>
      <w:r>
        <w:rPr>
          <w:rFonts w:hint="eastAsia" w:ascii="Times New Roman" w:hAnsi="Times New Roman" w:eastAsia="宋体" w:cs="Times New Roman"/>
          <w:color w:val="FF0000"/>
          <w:highlight w:val="none"/>
          <w:lang w:eastAsia="zh-CN"/>
        </w:rPr>
        <w:t>%，</w:t>
      </w:r>
      <w:r>
        <w:rPr>
          <w:rFonts w:hint="eastAsia" w:ascii="Times New Roman" w:hAnsi="Times New Roman" w:eastAsia="宋体" w:cs="Times New Roman"/>
          <w:color w:val="FF0000"/>
          <w:highlight w:val="none"/>
          <w:lang w:val="en-US" w:eastAsia="zh-CN"/>
        </w:rPr>
        <w:t>交通运输</w:t>
      </w:r>
      <w:r>
        <w:rPr>
          <w:rFonts w:hint="eastAsia" w:ascii="Times New Roman" w:hAnsi="Times New Roman" w:eastAsia="宋体" w:cs="Times New Roman"/>
          <w:color w:val="FF0000"/>
          <w:highlight w:val="none"/>
          <w:lang w:eastAsia="zh-CN"/>
        </w:rPr>
        <w:t>占地面积</w:t>
      </w:r>
      <w:r>
        <w:rPr>
          <w:rFonts w:hint="eastAsia" w:ascii="Times New Roman" w:hAnsi="Times New Roman" w:eastAsia="宋体" w:cs="Times New Roman"/>
          <w:color w:val="FF0000"/>
          <w:highlight w:val="none"/>
          <w:lang w:val="en-US" w:eastAsia="zh-CN"/>
        </w:rPr>
        <w:t>2.23</w:t>
      </w:r>
      <w:r>
        <w:rPr>
          <w:rFonts w:hint="eastAsia" w:ascii="Times New Roman" w:hAnsi="Times New Roman" w:eastAsia="宋体" w:cs="Times New Roman"/>
          <w:color w:val="FF0000"/>
          <w:highlight w:val="none"/>
          <w:lang w:eastAsia="zh-CN"/>
        </w:rPr>
        <w:t>%</w:t>
      </w:r>
      <w:r>
        <w:rPr>
          <w:rFonts w:hint="eastAsia" w:eastAsia="宋体" w:cs="Times New Roman"/>
          <w:color w:val="FF0000"/>
          <w:highlight w:val="none"/>
          <w:lang w:eastAsia="zh-CN"/>
        </w:rPr>
        <w:t>，</w:t>
      </w:r>
      <w:r>
        <w:rPr>
          <w:rFonts w:hint="eastAsia" w:eastAsia="宋体" w:cs="Times New Roman"/>
          <w:color w:val="FF0000"/>
          <w:highlight w:val="none"/>
          <w:lang w:val="en-US" w:eastAsia="zh-CN"/>
        </w:rPr>
        <w:t>裸岩占地面积9.37%</w:t>
      </w:r>
      <w:r>
        <w:rPr>
          <w:rFonts w:hint="eastAsia" w:ascii="Times New Roman" w:hAnsi="Times New Roman" w:eastAsia="宋体" w:cs="Times New Roman"/>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b/>
          <w:bCs/>
          <w:color w:val="FF0000"/>
        </w:rPr>
      </w:pPr>
      <w:r>
        <w:rPr>
          <w:rFonts w:hint="eastAsia" w:ascii="Times New Roman" w:hAnsi="Times New Roman" w:eastAsia="宋体" w:cs="Times New Roman"/>
          <w:b/>
          <w:bCs/>
          <w:color w:val="FF0000"/>
          <w:highlight w:val="none"/>
          <w:lang w:eastAsia="zh-CN"/>
        </w:rPr>
        <w:t>表</w:t>
      </w:r>
      <w:r>
        <w:rPr>
          <w:rFonts w:hint="eastAsia" w:ascii="Times New Roman" w:hAnsi="Times New Roman" w:eastAsia="宋体" w:cs="Times New Roman"/>
          <w:b/>
          <w:bCs/>
          <w:color w:val="FF0000"/>
          <w:highlight w:val="none"/>
          <w:lang w:val="en-US" w:eastAsia="zh-CN"/>
        </w:rPr>
        <w:t>4.2-16</w:t>
      </w:r>
      <w:r>
        <w:rPr>
          <w:rFonts w:hint="eastAsia" w:ascii="Times New Roman" w:hAnsi="Times New Roman" w:eastAsia="宋体" w:cs="Times New Roman"/>
          <w:b/>
          <w:bCs/>
          <w:color w:val="FF0000"/>
          <w:highlight w:val="none"/>
          <w:lang w:eastAsia="zh-CN"/>
        </w:rPr>
        <w:t xml:space="preserve">   评价区内用地类型特征表</w:t>
      </w:r>
    </w:p>
    <w:tbl>
      <w:tblPr>
        <w:tblStyle w:val="35"/>
        <w:tblW w:w="779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840"/>
        <w:gridCol w:w="2157"/>
        <w:gridCol w:w="240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color w:val="FF0000"/>
              </w:rPr>
            </w:pPr>
            <w:r>
              <w:rPr>
                <w:rFonts w:hint="eastAsia"/>
                <w:color w:val="FF0000"/>
              </w:rPr>
              <w:t>序号</w:t>
            </w:r>
          </w:p>
        </w:tc>
        <w:tc>
          <w:tcPr>
            <w:tcW w:w="1840" w:type="dxa"/>
            <w:tcBorders>
              <w:tl2br w:val="nil"/>
              <w:tr2bl w:val="nil"/>
            </w:tcBorders>
            <w:shd w:val="clear" w:color="auto" w:fill="auto"/>
            <w:noWrap/>
            <w:vAlign w:val="center"/>
          </w:tcPr>
          <w:p>
            <w:pPr>
              <w:pStyle w:val="52"/>
              <w:rPr>
                <w:color w:val="FF0000"/>
              </w:rPr>
            </w:pPr>
            <w:r>
              <w:rPr>
                <w:rFonts w:hint="eastAsia"/>
                <w:color w:val="FF0000"/>
              </w:rPr>
              <w:t>类型</w:t>
            </w:r>
          </w:p>
        </w:tc>
        <w:tc>
          <w:tcPr>
            <w:tcW w:w="2157" w:type="dxa"/>
            <w:tcBorders>
              <w:tl2br w:val="nil"/>
              <w:tr2bl w:val="nil"/>
            </w:tcBorders>
            <w:shd w:val="clear" w:color="auto" w:fill="auto"/>
            <w:noWrap/>
            <w:vAlign w:val="center"/>
          </w:tcPr>
          <w:p>
            <w:pPr>
              <w:pStyle w:val="52"/>
              <w:rPr>
                <w:color w:val="FF0000"/>
              </w:rPr>
            </w:pPr>
            <w:r>
              <w:rPr>
                <w:rFonts w:hint="eastAsia"/>
                <w:color w:val="FF0000"/>
              </w:rPr>
              <w:t>总面积（</w:t>
            </w:r>
            <w:r>
              <w:rPr>
                <w:rFonts w:hint="eastAsia"/>
                <w:color w:val="FF0000"/>
                <w:lang w:val="en-US" w:eastAsia="zh-CN"/>
              </w:rPr>
              <w:t>h</w:t>
            </w:r>
            <w:r>
              <w:rPr>
                <w:rFonts w:hint="eastAsia"/>
                <w:color w:val="FF0000"/>
              </w:rPr>
              <w:t>m</w:t>
            </w:r>
            <w:r>
              <w:rPr>
                <w:rFonts w:hint="eastAsia"/>
                <w:color w:val="FF0000"/>
                <w:vertAlign w:val="superscript"/>
              </w:rPr>
              <w:t>2</w:t>
            </w:r>
            <w:r>
              <w:rPr>
                <w:rFonts w:hint="eastAsia"/>
                <w:color w:val="FF0000"/>
              </w:rPr>
              <w:t>）</w:t>
            </w:r>
          </w:p>
        </w:tc>
        <w:tc>
          <w:tcPr>
            <w:tcW w:w="2409" w:type="dxa"/>
            <w:tcBorders>
              <w:tl2br w:val="nil"/>
              <w:tr2bl w:val="nil"/>
            </w:tcBorders>
            <w:shd w:val="clear" w:color="auto" w:fill="auto"/>
            <w:noWrap/>
            <w:vAlign w:val="center"/>
          </w:tcPr>
          <w:p>
            <w:pPr>
              <w:pStyle w:val="52"/>
              <w:rPr>
                <w:color w:val="FF0000"/>
              </w:rPr>
            </w:pPr>
            <w:r>
              <w:rPr>
                <w:rFonts w:hint="eastAsia"/>
                <w:color w:val="FF0000"/>
              </w:rPr>
              <w:t>所占比例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color w:val="FF0000"/>
              </w:rPr>
            </w:pPr>
            <w:r>
              <w:rPr>
                <w:rFonts w:hint="eastAsia"/>
                <w:color w:val="FF0000"/>
              </w:rPr>
              <w:t>1</w:t>
            </w:r>
          </w:p>
        </w:tc>
        <w:tc>
          <w:tcPr>
            <w:tcW w:w="1840"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lang w:val="en-US" w:eastAsia="zh-CN"/>
              </w:rPr>
              <w:t>草地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395.59</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85.73%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2</w:t>
            </w:r>
          </w:p>
        </w:tc>
        <w:tc>
          <w:tcPr>
            <w:tcW w:w="1840" w:type="dxa"/>
            <w:tcBorders>
              <w:tl2br w:val="nil"/>
              <w:tr2bl w:val="nil"/>
            </w:tcBorders>
            <w:shd w:val="clear" w:color="auto" w:fill="auto"/>
            <w:noWrap/>
            <w:vAlign w:val="center"/>
          </w:tcPr>
          <w:p>
            <w:pPr>
              <w:pStyle w:val="52"/>
              <w:rPr>
                <w:color w:val="FF0000"/>
              </w:rPr>
            </w:pPr>
            <w:r>
              <w:rPr>
                <w:rFonts w:hint="eastAsia"/>
                <w:color w:val="FF0000"/>
              </w:rPr>
              <w:t>道路用地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10.31</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3</w:t>
            </w:r>
          </w:p>
        </w:tc>
        <w:tc>
          <w:tcPr>
            <w:tcW w:w="1840" w:type="dxa"/>
            <w:tcBorders>
              <w:tl2br w:val="nil"/>
              <w:tr2bl w:val="nil"/>
            </w:tcBorders>
            <w:shd w:val="clear" w:color="auto" w:fill="auto"/>
            <w:noWrap/>
            <w:vAlign w:val="center"/>
          </w:tcPr>
          <w:p>
            <w:pPr>
              <w:pStyle w:val="52"/>
              <w:rPr>
                <w:color w:val="FF0000"/>
              </w:rPr>
            </w:pPr>
            <w:r>
              <w:rPr>
                <w:rFonts w:hint="eastAsia"/>
                <w:color w:val="FF0000"/>
              </w:rPr>
              <w:t>采矿用地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12.33</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2.67%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default"/>
                <w:color w:val="FF0000"/>
                <w:lang w:val="en-US" w:eastAsia="zh-CN"/>
              </w:rPr>
            </w:pPr>
            <w:r>
              <w:rPr>
                <w:rFonts w:hint="eastAsia"/>
                <w:color w:val="FF0000"/>
                <w:lang w:val="en-US" w:eastAsia="zh-CN"/>
              </w:rPr>
              <w:t>4</w:t>
            </w:r>
          </w:p>
        </w:tc>
        <w:tc>
          <w:tcPr>
            <w:tcW w:w="1840"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裸岩</w:t>
            </w:r>
          </w:p>
        </w:tc>
        <w:tc>
          <w:tcPr>
            <w:tcW w:w="2157" w:type="dxa"/>
            <w:tcBorders>
              <w:tl2br w:val="nil"/>
              <w:tr2bl w:val="nil"/>
            </w:tcBorders>
            <w:shd w:val="clear" w:color="auto" w:fill="auto"/>
            <w:noWrap/>
            <w:vAlign w:val="center"/>
          </w:tcPr>
          <w:p>
            <w:pPr>
              <w:pStyle w:val="52"/>
              <w:rPr>
                <w:rFonts w:hint="default"/>
                <w:color w:val="FF0000"/>
                <w:lang w:val="en-US" w:eastAsia="zh-CN"/>
              </w:rPr>
            </w:pPr>
            <w:r>
              <w:rPr>
                <w:rFonts w:hint="eastAsia"/>
                <w:color w:val="FF0000"/>
                <w:lang w:val="en-US" w:eastAsia="zh-CN"/>
              </w:rPr>
              <w:t>43.22</w:t>
            </w:r>
          </w:p>
        </w:tc>
        <w:tc>
          <w:tcPr>
            <w:tcW w:w="2409" w:type="dxa"/>
            <w:tcBorders>
              <w:tl2br w:val="nil"/>
              <w:tr2bl w:val="nil"/>
            </w:tcBorders>
            <w:shd w:val="clear" w:color="auto" w:fill="auto"/>
            <w:noWrap/>
            <w:vAlign w:val="center"/>
          </w:tcPr>
          <w:p>
            <w:pPr>
              <w:pStyle w:val="52"/>
              <w:rPr>
                <w:rFonts w:hint="default"/>
                <w:color w:val="FF0000"/>
                <w:lang w:val="en-US" w:eastAsia="zh-CN"/>
              </w:rPr>
            </w:pPr>
            <w:r>
              <w:rPr>
                <w:rFonts w:hint="eastAsia"/>
                <w:color w:val="FF0000"/>
                <w:lang w:val="en-US" w:eastAsia="zh-CN"/>
              </w:rPr>
              <w:t>9.37%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5</w:t>
            </w:r>
          </w:p>
        </w:tc>
        <w:tc>
          <w:tcPr>
            <w:tcW w:w="1840" w:type="dxa"/>
            <w:tcBorders>
              <w:tl2br w:val="nil"/>
              <w:tr2bl w:val="nil"/>
            </w:tcBorders>
            <w:shd w:val="clear" w:color="auto" w:fill="auto"/>
            <w:noWrap/>
            <w:vAlign w:val="center"/>
          </w:tcPr>
          <w:p>
            <w:pPr>
              <w:pStyle w:val="52"/>
              <w:rPr>
                <w:color w:val="FF0000"/>
              </w:rPr>
            </w:pPr>
            <w:r>
              <w:rPr>
                <w:rFonts w:hint="eastAsia"/>
                <w:color w:val="FF0000"/>
              </w:rPr>
              <w:t>总计</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461.45</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auto"/>
          <w:highlight w:val="none"/>
          <w:lang w:val="en-US" w:eastAsia="zh-CN"/>
        </w:rPr>
      </w:pPr>
      <w:r>
        <w:rPr>
          <w:rFonts w:hint="eastAsia" w:eastAsia="宋体"/>
          <w:b/>
          <w:bCs/>
          <w:color w:val="auto"/>
          <w:highlight w:val="none"/>
          <w:lang w:val="en-US" w:eastAsia="zh-CN"/>
        </w:rPr>
        <w:t>4.2.4.4 土壤侵蚀现状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auto"/>
          <w:highlight w:val="none"/>
          <w:lang w:eastAsia="zh-CN"/>
        </w:rPr>
      </w:pPr>
      <w:r>
        <w:rPr>
          <w:rFonts w:hint="eastAsia" w:eastAsia="宋体"/>
          <w:color w:val="auto"/>
          <w:highlight w:val="none"/>
          <w:lang w:val="en-US" w:eastAsia="zh-CN"/>
        </w:rPr>
        <w:t xml:space="preserve">   （1）</w:t>
      </w:r>
      <w:r>
        <w:rPr>
          <w:rFonts w:hint="eastAsia" w:eastAsia="宋体"/>
          <w:color w:val="auto"/>
          <w:highlight w:val="none"/>
          <w:lang w:eastAsia="zh-CN"/>
        </w:rPr>
        <w:t>水土流失防治分区及土壤允许流失量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本矿区地处锡林郭勒高原的西南部，按照水利部行业标准《土壤侵蚀分类分级标准》（SL190-2007）和内蒙古第二次遥感调查成果，该地区属于锡林郭勒高原风力侵蚀区，土壤允许流失量500t/km</w:t>
      </w:r>
      <w:r>
        <w:rPr>
          <w:rFonts w:hint="eastAsia" w:eastAsia="宋体"/>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eastAsia" w:eastAsia="宋体"/>
          <w:color w:val="auto"/>
          <w:highlight w:val="none"/>
          <w:lang w:eastAsia="zh-CN"/>
        </w:rPr>
        <w:t>a。根据《全国水土保持规划国家级水土流失重点预防区和重点治理区复核划分成果》（水利部办公厅，办水保[2013]188号文）、《内蒙古自治区人民政府关于划分水土流失重点预防区和重点治理区的通告》（内政发[2016]44号），矿区属水土流失重点预防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w:t>
      </w:r>
      <w:r>
        <w:rPr>
          <w:rFonts w:hint="eastAsia" w:eastAsia="宋体"/>
          <w:color w:val="auto"/>
          <w:highlight w:val="none"/>
          <w:lang w:val="en-US" w:eastAsia="zh-CN"/>
        </w:rPr>
        <w:t>2</w:t>
      </w:r>
      <w:r>
        <w:rPr>
          <w:rFonts w:hint="eastAsia" w:eastAsia="宋体"/>
          <w:color w:val="auto"/>
          <w:highlight w:val="none"/>
          <w:lang w:eastAsia="zh-CN"/>
        </w:rPr>
        <w:t>）水土流失现状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矿区所属旗县地处荒漠草原带，干旱多风，土壤疏松，土壤侵蚀特征为：以风力侵蚀为主，兼有季节性水力侵蚀。其中，夏秋季降水集中（7~9月份降水量占全年降水量的60%~70%），且多以高强度降雨形式出现，极易形成地表径流，造成土壤水蚀和重量侵蚀；春季多大风，4、5月大风日数占全年大风日数的35%，构成以风蚀为主的侵蚀特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全旗水土流失面积占总土地面积的52.27%。水土流失形式主要表现为风力侵蚀为主，间有季节性水力侵蚀的水风复合侵蚀。根据水利部行业标准《土壤侵蚀分类分级标准》（SL190-2007），结合全国第二次土壤侵蚀普查和矿区的地形地貌、土壤、植被等情况进行分析，确定项目区风力侵蚀模数为2500t/km</w:t>
      </w:r>
      <w:r>
        <w:rPr>
          <w:rFonts w:hint="eastAsia" w:eastAsia="宋体"/>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eastAsia" w:eastAsia="宋体"/>
          <w:color w:val="auto"/>
          <w:highlight w:val="none"/>
          <w:lang w:eastAsia="zh-CN"/>
        </w:rPr>
        <w:t>a，水力侵蚀模数为750 t/km</w:t>
      </w:r>
      <w:r>
        <w:rPr>
          <w:rFonts w:hint="eastAsia" w:eastAsia="宋体"/>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eastAsia" w:eastAsia="宋体"/>
          <w:color w:val="auto"/>
          <w:highlight w:val="none"/>
          <w:lang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评价区内土壤侵蚀以轻度侵蚀区为主，地表植被以草本为主，由于牲畜的践踏，地表疏松，沙物质活跃，冬春季节植被盖度低时，土壤风蚀严重，夏秋季节植被盖度较好，不会起沙。其次为强度侵蚀类型区内草地退化较重，灌木入侵，导致草地质量下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highlight w:val="none"/>
          <w:lang w:val="en-US" w:eastAsia="zh-CN"/>
        </w:rPr>
      </w:pPr>
      <w:r>
        <w:rPr>
          <w:rFonts w:hint="eastAsia" w:eastAsia="宋体"/>
          <w:color w:val="auto"/>
          <w:highlight w:val="none"/>
          <w:lang w:eastAsia="zh-CN"/>
        </w:rPr>
        <w:t>（</w:t>
      </w:r>
      <w:r>
        <w:rPr>
          <w:rFonts w:hint="eastAsia" w:eastAsia="宋体"/>
          <w:color w:val="auto"/>
          <w:highlight w:val="none"/>
          <w:lang w:val="en-US" w:eastAsia="zh-CN"/>
        </w:rPr>
        <w:t>3</w:t>
      </w:r>
      <w:r>
        <w:rPr>
          <w:rFonts w:hint="eastAsia" w:eastAsia="宋体"/>
          <w:color w:val="auto"/>
          <w:highlight w:val="none"/>
          <w:lang w:eastAsia="zh-CN"/>
        </w:rPr>
        <w:t>）</w:t>
      </w:r>
      <w:r>
        <w:rPr>
          <w:rFonts w:hint="eastAsia" w:eastAsia="宋体"/>
          <w:color w:val="auto"/>
          <w:highlight w:val="none"/>
          <w:lang w:val="en-US" w:eastAsia="zh-CN"/>
        </w:rPr>
        <w:t>土壤侵蚀现状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FF0000"/>
          <w:highlight w:val="none"/>
          <w:lang w:eastAsia="zh-CN"/>
        </w:rPr>
      </w:pPr>
      <w:r>
        <w:rPr>
          <w:rFonts w:hint="eastAsia" w:eastAsia="宋体"/>
          <w:color w:val="FF0000"/>
          <w:highlight w:val="none"/>
          <w:lang w:eastAsia="zh-CN"/>
        </w:rPr>
        <w:t>评价区土壤侵蚀情况见表</w:t>
      </w:r>
      <w:r>
        <w:rPr>
          <w:rFonts w:hint="eastAsia" w:eastAsia="宋体"/>
          <w:color w:val="FF0000"/>
          <w:highlight w:val="none"/>
          <w:lang w:val="en-US" w:eastAsia="zh-CN"/>
        </w:rPr>
        <w:t>4.2-17</w:t>
      </w:r>
      <w:r>
        <w:rPr>
          <w:rFonts w:hint="eastAsia" w:eastAsia="宋体"/>
          <w:color w:val="FF0000"/>
          <w:highlight w:val="none"/>
          <w:lang w:eastAsia="zh-CN"/>
        </w:rPr>
        <w:t>，土壤侵蚀图见</w:t>
      </w:r>
      <w:r>
        <w:rPr>
          <w:rFonts w:hint="eastAsia" w:eastAsia="宋体"/>
          <w:color w:val="FF0000"/>
          <w:highlight w:val="none"/>
          <w:lang w:val="en-US" w:eastAsia="zh-CN"/>
        </w:rPr>
        <w:t>附</w:t>
      </w:r>
      <w:r>
        <w:rPr>
          <w:rFonts w:hint="eastAsia" w:eastAsia="宋体"/>
          <w:color w:val="FF0000"/>
          <w:highlight w:val="none"/>
          <w:lang w:eastAsia="zh-CN"/>
        </w:rPr>
        <w:t>图</w:t>
      </w:r>
      <w:r>
        <w:rPr>
          <w:rFonts w:hint="eastAsia" w:eastAsia="宋体"/>
          <w:color w:val="FF0000"/>
          <w:highlight w:val="none"/>
          <w:lang w:val="en-US" w:eastAsia="zh-CN"/>
        </w:rPr>
        <w:t>12</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4.2-17</w:t>
      </w:r>
      <w:r>
        <w:rPr>
          <w:rFonts w:hint="eastAsia" w:eastAsia="宋体"/>
          <w:b/>
          <w:bCs/>
          <w:color w:val="FF0000"/>
          <w:highlight w:val="none"/>
          <w:lang w:eastAsia="zh-CN"/>
        </w:rPr>
        <w:t xml:space="preserve">  评价区土壤侵蚀现状</w:t>
      </w:r>
    </w:p>
    <w:tbl>
      <w:tblPr>
        <w:tblStyle w:val="35"/>
        <w:tblW w:w="0" w:type="auto"/>
        <w:jc w:val="cente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8"/>
        <w:gridCol w:w="2592"/>
        <w:gridCol w:w="1757"/>
        <w:gridCol w:w="2292"/>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2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侵蚀类型</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面积（hm</w:t>
            </w:r>
            <w:r>
              <w:rPr>
                <w:rFonts w:hint="eastAsia" w:eastAsia="宋体"/>
                <w:color w:val="FF0000"/>
                <w:sz w:val="21"/>
                <w:szCs w:val="21"/>
                <w:highlight w:val="none"/>
                <w:vertAlign w:val="superscript"/>
                <w:lang w:eastAsia="zh-CN"/>
              </w:rPr>
              <w:t>2</w:t>
            </w:r>
            <w:r>
              <w:rPr>
                <w:rFonts w:hint="eastAsia" w:eastAsia="宋体"/>
                <w:color w:val="FF0000"/>
                <w:sz w:val="21"/>
                <w:szCs w:val="21"/>
                <w:highlight w:val="none"/>
                <w:lang w:eastAsia="zh-CN"/>
              </w:rPr>
              <w:t>）</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所占比例（%）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风力侵蚀</w:t>
            </w: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微度风蚀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10.31</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2.23</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宋体"/>
                <w:color w:val="FF0000"/>
                <w:sz w:val="21"/>
                <w:szCs w:val="21"/>
                <w:highlight w:val="none"/>
                <w:lang w:eastAsia="zh-CN"/>
              </w:rPr>
            </w:pP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轻度风蚀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4.80</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1.04</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宋体"/>
                <w:color w:val="FF0000"/>
                <w:sz w:val="21"/>
                <w:szCs w:val="21"/>
                <w:highlight w:val="none"/>
                <w:lang w:eastAsia="zh-CN"/>
              </w:rPr>
            </w:pP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中度风蚀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390.79</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84.69</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宋体"/>
                <w:color w:val="FF0000"/>
                <w:sz w:val="21"/>
                <w:szCs w:val="21"/>
                <w:highlight w:val="none"/>
                <w:lang w:eastAsia="zh-CN"/>
              </w:rPr>
            </w:pP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强烈风蚀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55.55</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12.04</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2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合计</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461.45</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FF0000"/>
          <w:highlight w:val="yellow"/>
          <w:lang w:eastAsia="zh-CN"/>
        </w:rPr>
      </w:pPr>
      <w:r>
        <w:rPr>
          <w:rFonts w:hint="eastAsia" w:eastAsia="宋体"/>
          <w:color w:val="FF0000"/>
          <w:highlight w:val="none"/>
          <w:lang w:eastAsia="zh-CN"/>
        </w:rPr>
        <w:t>从表</w:t>
      </w:r>
      <w:r>
        <w:rPr>
          <w:rFonts w:hint="eastAsia" w:eastAsia="宋体"/>
          <w:color w:val="FF0000"/>
          <w:highlight w:val="none"/>
          <w:lang w:val="en-US" w:eastAsia="zh-CN"/>
        </w:rPr>
        <w:t>4.2-17</w:t>
      </w:r>
      <w:r>
        <w:rPr>
          <w:rFonts w:hint="eastAsia" w:eastAsia="宋体"/>
          <w:color w:val="FF0000"/>
          <w:highlight w:val="none"/>
          <w:lang w:eastAsia="zh-CN"/>
        </w:rPr>
        <w:t>可以看出，评价区总占地面积为</w:t>
      </w:r>
      <w:r>
        <w:rPr>
          <w:rFonts w:hint="eastAsia" w:eastAsia="宋体"/>
          <w:color w:val="FF0000"/>
          <w:highlight w:val="none"/>
          <w:lang w:val="en-US" w:eastAsia="zh-CN"/>
        </w:rPr>
        <w:t>461.45</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，以风力侵蚀为主，以</w:t>
      </w:r>
      <w:r>
        <w:rPr>
          <w:rFonts w:hint="eastAsia" w:eastAsia="宋体"/>
          <w:color w:val="FF0000"/>
          <w:highlight w:val="none"/>
          <w:lang w:val="en-US" w:eastAsia="zh-CN"/>
        </w:rPr>
        <w:t>中</w:t>
      </w:r>
      <w:r>
        <w:rPr>
          <w:rFonts w:hint="eastAsia" w:eastAsia="宋体"/>
          <w:color w:val="FF0000"/>
          <w:highlight w:val="none"/>
          <w:lang w:eastAsia="zh-CN"/>
        </w:rPr>
        <w:t>度风力侵蚀为主。其中微度风力侵蚀面积为</w:t>
      </w:r>
      <w:r>
        <w:rPr>
          <w:rFonts w:hint="eastAsia" w:eastAsia="宋体"/>
          <w:color w:val="FF0000"/>
          <w:highlight w:val="none"/>
          <w:lang w:val="en-US" w:eastAsia="zh-CN"/>
        </w:rPr>
        <w:t>10.31</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，占评价区总占地面积的</w:t>
      </w:r>
      <w:r>
        <w:rPr>
          <w:rFonts w:hint="eastAsia" w:eastAsia="宋体"/>
          <w:color w:val="FF0000"/>
          <w:highlight w:val="none"/>
          <w:lang w:val="en-US" w:eastAsia="zh-CN"/>
        </w:rPr>
        <w:t>2.23</w:t>
      </w:r>
      <w:r>
        <w:rPr>
          <w:rFonts w:hint="eastAsia" w:eastAsia="宋体"/>
          <w:color w:val="FF0000"/>
          <w:highlight w:val="none"/>
          <w:lang w:eastAsia="zh-CN"/>
        </w:rPr>
        <w:t>%；轻度风力侵蚀面积为</w:t>
      </w:r>
      <w:r>
        <w:rPr>
          <w:rFonts w:hint="eastAsia" w:eastAsia="宋体"/>
          <w:color w:val="FF0000"/>
          <w:highlight w:val="none"/>
          <w:lang w:val="en-US" w:eastAsia="zh-CN"/>
        </w:rPr>
        <w:t>4.80</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，占总面积</w:t>
      </w:r>
      <w:r>
        <w:rPr>
          <w:rFonts w:hint="eastAsia" w:eastAsia="宋体"/>
          <w:color w:val="FF0000"/>
          <w:highlight w:val="none"/>
          <w:lang w:val="en-US" w:eastAsia="zh-CN"/>
        </w:rPr>
        <w:t>1.04</w:t>
      </w:r>
      <w:r>
        <w:rPr>
          <w:rFonts w:hint="eastAsia" w:eastAsia="宋体"/>
          <w:color w:val="FF0000"/>
          <w:highlight w:val="none"/>
          <w:lang w:eastAsia="zh-CN"/>
        </w:rPr>
        <w:t>%；</w:t>
      </w:r>
      <w:r>
        <w:rPr>
          <w:rFonts w:hint="eastAsia" w:eastAsia="宋体"/>
          <w:color w:val="FF0000"/>
          <w:highlight w:val="none"/>
          <w:lang w:val="en-US" w:eastAsia="zh-CN"/>
        </w:rPr>
        <w:t>中</w:t>
      </w:r>
      <w:r>
        <w:rPr>
          <w:rFonts w:hint="eastAsia" w:eastAsia="宋体"/>
          <w:color w:val="FF0000"/>
          <w:highlight w:val="none"/>
          <w:lang w:eastAsia="zh-CN"/>
        </w:rPr>
        <w:t>度风力侵蚀面积为</w:t>
      </w:r>
      <w:r>
        <w:rPr>
          <w:rFonts w:hint="eastAsia" w:eastAsia="宋体"/>
          <w:color w:val="FF0000"/>
          <w:highlight w:val="none"/>
          <w:lang w:val="en-US" w:eastAsia="zh-CN"/>
        </w:rPr>
        <w:t>390.79</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，占评价区总占地面积的</w:t>
      </w:r>
      <w:r>
        <w:rPr>
          <w:rFonts w:hint="eastAsia" w:eastAsia="宋体"/>
          <w:color w:val="FF0000"/>
          <w:highlight w:val="none"/>
          <w:lang w:val="en-US" w:eastAsia="zh-CN"/>
        </w:rPr>
        <w:t>84.69</w:t>
      </w:r>
      <w:r>
        <w:rPr>
          <w:rFonts w:hint="eastAsia" w:eastAsia="宋体"/>
          <w:color w:val="FF0000"/>
          <w:highlight w:val="none"/>
          <w:lang w:eastAsia="zh-CN"/>
        </w:rPr>
        <w:t>%；</w:t>
      </w:r>
      <w:r>
        <w:rPr>
          <w:rFonts w:hint="eastAsia" w:eastAsia="宋体"/>
          <w:color w:val="FF0000"/>
          <w:highlight w:val="none"/>
          <w:lang w:val="en-US" w:eastAsia="zh-CN"/>
        </w:rPr>
        <w:t>强烈</w:t>
      </w:r>
      <w:r>
        <w:rPr>
          <w:rFonts w:hint="eastAsia" w:eastAsia="宋体"/>
          <w:color w:val="FF0000"/>
          <w:highlight w:val="none"/>
          <w:lang w:eastAsia="zh-CN"/>
        </w:rPr>
        <w:t>风力侵蚀面积为</w:t>
      </w:r>
      <w:r>
        <w:rPr>
          <w:rFonts w:hint="eastAsia" w:eastAsia="宋体"/>
          <w:color w:val="FF0000"/>
          <w:highlight w:val="none"/>
          <w:lang w:val="en-US" w:eastAsia="zh-CN"/>
        </w:rPr>
        <w:t>55.55</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，占评价区总占地面积的</w:t>
      </w:r>
      <w:r>
        <w:rPr>
          <w:rFonts w:hint="eastAsia" w:eastAsia="宋体"/>
          <w:color w:val="FF0000"/>
          <w:highlight w:val="none"/>
          <w:lang w:val="en-US" w:eastAsia="zh-CN"/>
        </w:rPr>
        <w:t>12.04</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highlight w:val="none"/>
          <w:lang w:val="en-US" w:eastAsia="zh-CN"/>
        </w:rPr>
      </w:pPr>
      <w:bookmarkStart w:id="161" w:name="_Toc43286957"/>
      <w:r>
        <w:rPr>
          <w:rFonts w:hint="eastAsia" w:ascii="Times New Roman" w:hAnsi="Times New Roman" w:eastAsia="宋体" w:cs="Times New Roman"/>
          <w:b/>
          <w:bCs/>
          <w:color w:val="auto"/>
          <w:highlight w:val="none"/>
          <w:lang w:val="en-US" w:eastAsia="zh-CN"/>
        </w:rPr>
        <w:t>4.2.4.5 野生动植物资源现状调查</w:t>
      </w:r>
      <w:bookmarkEnd w:id="161"/>
    </w:p>
    <w:p>
      <w:pPr>
        <w:ind w:firstLine="480"/>
        <w:rPr>
          <w:rFonts w:hint="eastAsia" w:ascii="宋体" w:hAnsi="宋体" w:eastAsia="宋体" w:cs="宋体"/>
        </w:rPr>
      </w:pPr>
      <w:r>
        <w:rPr>
          <w:rFonts w:hint="eastAsia" w:ascii="宋体" w:hAnsi="宋体" w:eastAsia="宋体" w:cs="宋体"/>
        </w:rPr>
        <w:t>矿区所在地区在中国动物地理区划中属古北界的蒙新区东部草原区，本区野生动物组成简单，主要为草原动物。常见的野生动物主要为小型的啮齿类动物草原鼢鼠、布氏田鼠、小家鼠等，其次为草兔、蒙古兔以及各种栖息地在草地、沙地、水域的一些鸟类，如喜鹊、乌鸦、沙鸡、麻雀、百灵等。矿区常见的野生动物均为广布种。区域内野生动物的种类不多，数量很少，项目区不涉及珍稀濒危野生动物及其栖息地。</w:t>
      </w:r>
    </w:p>
    <w:p>
      <w:pPr>
        <w:pStyle w:val="51"/>
        <w:spacing w:before="163" w:after="163"/>
        <w:rPr>
          <w:rFonts w:eastAsia="宋体"/>
          <w:b/>
          <w:bCs/>
          <w:color w:val="FF0000"/>
          <w:sz w:val="24"/>
        </w:rPr>
      </w:pPr>
      <w:r>
        <w:rPr>
          <w:rFonts w:hint="eastAsia" w:eastAsia="宋体"/>
          <w:b/>
          <w:bCs/>
          <w:color w:val="FF0000"/>
          <w:sz w:val="24"/>
        </w:rPr>
        <w:t>表</w:t>
      </w:r>
      <w:r>
        <w:rPr>
          <w:rFonts w:hint="eastAsia" w:eastAsia="宋体"/>
          <w:b/>
          <w:bCs/>
          <w:color w:val="FF0000"/>
          <w:sz w:val="24"/>
          <w:lang w:val="en-US" w:eastAsia="zh-CN"/>
        </w:rPr>
        <w:t>4.2-18</w:t>
      </w:r>
      <w:r>
        <w:rPr>
          <w:rFonts w:eastAsia="宋体"/>
          <w:b/>
          <w:bCs/>
          <w:color w:val="FF0000"/>
          <w:sz w:val="24"/>
        </w:rPr>
        <w:t xml:space="preserve"> </w:t>
      </w:r>
      <w:r>
        <w:rPr>
          <w:rFonts w:hint="eastAsia" w:eastAsia="宋体"/>
          <w:b/>
          <w:bCs/>
          <w:color w:val="FF0000"/>
          <w:sz w:val="24"/>
        </w:rPr>
        <w:t xml:space="preserve">  主要动物名录</w:t>
      </w:r>
    </w:p>
    <w:tbl>
      <w:tblPr>
        <w:tblStyle w:val="35"/>
        <w:tblW w:w="5000" w:type="pct"/>
        <w:tblInd w:w="0" w:type="dxa"/>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4"/>
        <w:gridCol w:w="3312"/>
        <w:gridCol w:w="3906"/>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序 号</w:t>
            </w:r>
          </w:p>
        </w:tc>
        <w:tc>
          <w:tcPr>
            <w:tcW w:w="1943" w:type="pct"/>
            <w:tcBorders>
              <w:tl2br w:val="nil"/>
              <w:tr2bl w:val="nil"/>
            </w:tcBorders>
            <w:vAlign w:val="center"/>
          </w:tcPr>
          <w:p>
            <w:pPr>
              <w:pStyle w:val="52"/>
              <w:rPr>
                <w:snapToGrid w:val="0"/>
                <w:color w:val="FF0000"/>
              </w:rPr>
            </w:pPr>
            <w:r>
              <w:rPr>
                <w:snapToGrid w:val="0"/>
                <w:color w:val="FF0000"/>
              </w:rPr>
              <w:t>中 文 名</w:t>
            </w:r>
          </w:p>
        </w:tc>
        <w:tc>
          <w:tcPr>
            <w:tcW w:w="2292" w:type="pct"/>
            <w:tcBorders>
              <w:tl2br w:val="nil"/>
              <w:tr2bl w:val="nil"/>
            </w:tcBorders>
            <w:vAlign w:val="center"/>
          </w:tcPr>
          <w:p>
            <w:pPr>
              <w:pStyle w:val="52"/>
              <w:rPr>
                <w:snapToGrid w:val="0"/>
                <w:color w:val="FF0000"/>
              </w:rPr>
            </w:pPr>
            <w:r>
              <w:rPr>
                <w:snapToGrid w:val="0"/>
                <w:color w:val="FF0000"/>
              </w:rPr>
              <w:t>学 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一、两栖纲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一</w:t>
            </w:r>
            <w:r>
              <w:rPr>
                <w:rFonts w:hint="eastAsia"/>
                <w:snapToGrid w:val="0"/>
                <w:color w:val="FF0000"/>
                <w:lang w:eastAsia="zh-CN"/>
              </w:rPr>
              <w:t>）</w:t>
            </w:r>
            <w:r>
              <w:rPr>
                <w:snapToGrid w:val="0"/>
                <w:color w:val="FF0000"/>
              </w:rPr>
              <w:t>无尾目</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w:t>
            </w:r>
          </w:p>
        </w:tc>
        <w:tc>
          <w:tcPr>
            <w:tcW w:w="1943" w:type="pct"/>
            <w:tcBorders>
              <w:tl2br w:val="nil"/>
              <w:tr2bl w:val="nil"/>
            </w:tcBorders>
            <w:vAlign w:val="center"/>
          </w:tcPr>
          <w:p>
            <w:pPr>
              <w:pStyle w:val="52"/>
              <w:rPr>
                <w:snapToGrid w:val="0"/>
                <w:color w:val="FF0000"/>
              </w:rPr>
            </w:pPr>
            <w:r>
              <w:rPr>
                <w:snapToGrid w:val="0"/>
                <w:color w:val="FF0000"/>
              </w:rPr>
              <w:t>花背蟾蜍</w:t>
            </w:r>
          </w:p>
        </w:tc>
        <w:tc>
          <w:tcPr>
            <w:tcW w:w="2292" w:type="pct"/>
            <w:tcBorders>
              <w:tl2br w:val="nil"/>
              <w:tr2bl w:val="nil"/>
            </w:tcBorders>
            <w:vAlign w:val="center"/>
          </w:tcPr>
          <w:p>
            <w:pPr>
              <w:pStyle w:val="52"/>
              <w:rPr>
                <w:i/>
                <w:snapToGrid w:val="0"/>
                <w:color w:val="FF0000"/>
              </w:rPr>
            </w:pPr>
            <w:r>
              <w:rPr>
                <w:i/>
                <w:snapToGrid w:val="0"/>
                <w:color w:val="FF0000"/>
              </w:rPr>
              <w:t>B.raddei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二、爬行纲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二</w:t>
            </w:r>
            <w:r>
              <w:rPr>
                <w:rFonts w:hint="eastAsia"/>
                <w:snapToGrid w:val="0"/>
                <w:color w:val="FF0000"/>
                <w:lang w:eastAsia="zh-CN"/>
              </w:rPr>
              <w:t>）</w:t>
            </w:r>
            <w:r>
              <w:rPr>
                <w:snapToGrid w:val="0"/>
                <w:color w:val="FF0000"/>
              </w:rPr>
              <w:t>有鳞目SQUAMATA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2</w:t>
            </w:r>
          </w:p>
        </w:tc>
        <w:tc>
          <w:tcPr>
            <w:tcW w:w="1943" w:type="pct"/>
            <w:tcBorders>
              <w:tl2br w:val="nil"/>
              <w:tr2bl w:val="nil"/>
            </w:tcBorders>
            <w:vAlign w:val="center"/>
          </w:tcPr>
          <w:p>
            <w:pPr>
              <w:pStyle w:val="52"/>
              <w:rPr>
                <w:color w:val="FF0000"/>
              </w:rPr>
            </w:pPr>
            <w:r>
              <w:rPr>
                <w:color w:val="FF0000"/>
              </w:rPr>
              <w:t>麻蜥</w:t>
            </w:r>
          </w:p>
        </w:tc>
        <w:tc>
          <w:tcPr>
            <w:tcW w:w="2292" w:type="pct"/>
            <w:tcBorders>
              <w:tl2br w:val="nil"/>
              <w:tr2bl w:val="nil"/>
            </w:tcBorders>
            <w:vAlign w:val="center"/>
          </w:tcPr>
          <w:p>
            <w:pPr>
              <w:pStyle w:val="52"/>
              <w:rPr>
                <w:i/>
                <w:color w:val="FF0000"/>
              </w:rPr>
            </w:pPr>
            <w:r>
              <w:rPr>
                <w:i/>
                <w:color w:val="FF0000"/>
              </w:rPr>
              <w:t>Eremias argus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3</w:t>
            </w:r>
          </w:p>
        </w:tc>
        <w:tc>
          <w:tcPr>
            <w:tcW w:w="1943" w:type="pct"/>
            <w:tcBorders>
              <w:tl2br w:val="nil"/>
              <w:tr2bl w:val="nil"/>
            </w:tcBorders>
            <w:vAlign w:val="center"/>
          </w:tcPr>
          <w:p>
            <w:pPr>
              <w:pStyle w:val="52"/>
              <w:rPr>
                <w:color w:val="FF0000"/>
              </w:rPr>
            </w:pPr>
            <w:r>
              <w:rPr>
                <w:color w:val="FF0000"/>
              </w:rPr>
              <w:t>蝮蛇</w:t>
            </w:r>
          </w:p>
        </w:tc>
        <w:tc>
          <w:tcPr>
            <w:tcW w:w="2292" w:type="pct"/>
            <w:tcBorders>
              <w:tl2br w:val="nil"/>
              <w:tr2bl w:val="nil"/>
            </w:tcBorders>
            <w:vAlign w:val="center"/>
          </w:tcPr>
          <w:p>
            <w:pPr>
              <w:pStyle w:val="52"/>
              <w:rPr>
                <w:i/>
                <w:color w:val="FF0000"/>
              </w:rPr>
            </w:pPr>
            <w:r>
              <w:rPr>
                <w:i/>
                <w:color w:val="FF0000"/>
              </w:rPr>
              <w:t>Agkistrodon halys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三、鸟纲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lang w:val="it-IT"/>
              </w:rPr>
            </w:pPr>
            <w:r>
              <w:rPr>
                <w:rFonts w:hint="eastAsia"/>
                <w:snapToGrid w:val="0"/>
                <w:color w:val="FF0000"/>
                <w:lang w:val="it-IT" w:eastAsia="zh-CN"/>
              </w:rPr>
              <w:t>（</w:t>
            </w:r>
            <w:r>
              <w:rPr>
                <w:snapToGrid w:val="0"/>
                <w:color w:val="FF0000"/>
              </w:rPr>
              <w:t>三</w:t>
            </w:r>
            <w:r>
              <w:rPr>
                <w:rFonts w:hint="eastAsia"/>
                <w:snapToGrid w:val="0"/>
                <w:color w:val="FF0000"/>
                <w:lang w:val="it-IT" w:eastAsia="zh-CN"/>
              </w:rPr>
              <w:t>）</w:t>
            </w:r>
            <w:r>
              <w:rPr>
                <w:snapToGrid w:val="0"/>
                <w:color w:val="FF0000"/>
              </w:rPr>
              <w:t>雀形目</w:t>
            </w:r>
            <w:r>
              <w:rPr>
                <w:snapToGrid w:val="0"/>
                <w:color w:val="FF0000"/>
                <w:lang w:val="it-IT"/>
              </w:rPr>
              <w:t>PASSERIFORMES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4</w:t>
            </w:r>
          </w:p>
        </w:tc>
        <w:tc>
          <w:tcPr>
            <w:tcW w:w="1943" w:type="pct"/>
            <w:tcBorders>
              <w:tl2br w:val="nil"/>
              <w:tr2bl w:val="nil"/>
            </w:tcBorders>
            <w:vAlign w:val="center"/>
          </w:tcPr>
          <w:p>
            <w:pPr>
              <w:pStyle w:val="52"/>
              <w:rPr>
                <w:snapToGrid w:val="0"/>
                <w:color w:val="FF0000"/>
              </w:rPr>
            </w:pPr>
            <w:r>
              <w:rPr>
                <w:snapToGrid w:val="0"/>
                <w:color w:val="FF0000"/>
              </w:rPr>
              <w:t>喜鹊</w:t>
            </w:r>
          </w:p>
        </w:tc>
        <w:tc>
          <w:tcPr>
            <w:tcW w:w="2292" w:type="pct"/>
            <w:tcBorders>
              <w:tl2br w:val="nil"/>
              <w:tr2bl w:val="nil"/>
            </w:tcBorders>
            <w:vAlign w:val="center"/>
          </w:tcPr>
          <w:p>
            <w:pPr>
              <w:pStyle w:val="52"/>
              <w:rPr>
                <w:i/>
                <w:snapToGrid w:val="0"/>
                <w:color w:val="FF0000"/>
              </w:rPr>
            </w:pPr>
            <w:r>
              <w:rPr>
                <w:i/>
                <w:snapToGrid w:val="0"/>
                <w:color w:val="FF0000"/>
              </w:rPr>
              <w:t>Pica pica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5</w:t>
            </w:r>
          </w:p>
        </w:tc>
        <w:tc>
          <w:tcPr>
            <w:tcW w:w="1943" w:type="pct"/>
            <w:tcBorders>
              <w:tl2br w:val="nil"/>
              <w:tr2bl w:val="nil"/>
            </w:tcBorders>
            <w:vAlign w:val="center"/>
          </w:tcPr>
          <w:p>
            <w:pPr>
              <w:pStyle w:val="52"/>
              <w:rPr>
                <w:snapToGrid w:val="0"/>
                <w:color w:val="FF0000"/>
              </w:rPr>
            </w:pPr>
            <w:r>
              <w:rPr>
                <w:snapToGrid w:val="0"/>
                <w:color w:val="FF0000"/>
              </w:rPr>
              <w:t>乌鸦</w:t>
            </w:r>
          </w:p>
        </w:tc>
        <w:tc>
          <w:tcPr>
            <w:tcW w:w="2292" w:type="pct"/>
            <w:tcBorders>
              <w:tl2br w:val="nil"/>
              <w:tr2bl w:val="nil"/>
            </w:tcBorders>
            <w:vAlign w:val="center"/>
          </w:tcPr>
          <w:p>
            <w:pPr>
              <w:pStyle w:val="52"/>
              <w:rPr>
                <w:i/>
                <w:snapToGrid w:val="0"/>
                <w:color w:val="FF0000"/>
              </w:rPr>
            </w:pPr>
            <w:r>
              <w:rPr>
                <w:i/>
                <w:snapToGrid w:val="0"/>
                <w:color w:val="FF0000"/>
              </w:rPr>
              <w:t>C.corone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6</w:t>
            </w:r>
          </w:p>
        </w:tc>
        <w:tc>
          <w:tcPr>
            <w:tcW w:w="1943" w:type="pct"/>
            <w:tcBorders>
              <w:tl2br w:val="nil"/>
              <w:tr2bl w:val="nil"/>
            </w:tcBorders>
            <w:vAlign w:val="center"/>
          </w:tcPr>
          <w:p>
            <w:pPr>
              <w:pStyle w:val="52"/>
              <w:rPr>
                <w:snapToGrid w:val="0"/>
                <w:color w:val="FF0000"/>
              </w:rPr>
            </w:pPr>
            <w:r>
              <w:rPr>
                <w:snapToGrid w:val="0"/>
                <w:color w:val="FF0000"/>
              </w:rPr>
              <w:t>沙鸡</w:t>
            </w:r>
          </w:p>
        </w:tc>
        <w:tc>
          <w:tcPr>
            <w:tcW w:w="2292" w:type="pct"/>
            <w:tcBorders>
              <w:tl2br w:val="nil"/>
              <w:tr2bl w:val="nil"/>
            </w:tcBorders>
            <w:vAlign w:val="center"/>
          </w:tcPr>
          <w:p>
            <w:pPr>
              <w:pStyle w:val="52"/>
              <w:rPr>
                <w:i/>
                <w:snapToGrid w:val="0"/>
                <w:color w:val="FF0000"/>
              </w:rPr>
            </w:pPr>
            <w:r>
              <w:rPr>
                <w:i/>
                <w:snapToGrid w:val="0"/>
                <w:color w:val="FF0000"/>
              </w:rPr>
              <w:t>sandgrouse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7</w:t>
            </w:r>
          </w:p>
        </w:tc>
        <w:tc>
          <w:tcPr>
            <w:tcW w:w="1943" w:type="pct"/>
            <w:tcBorders>
              <w:tl2br w:val="nil"/>
              <w:tr2bl w:val="nil"/>
            </w:tcBorders>
            <w:vAlign w:val="center"/>
          </w:tcPr>
          <w:p>
            <w:pPr>
              <w:pStyle w:val="52"/>
              <w:rPr>
                <w:snapToGrid w:val="0"/>
                <w:color w:val="FF0000"/>
              </w:rPr>
            </w:pPr>
            <w:r>
              <w:rPr>
                <w:snapToGrid w:val="0"/>
                <w:color w:val="FF0000"/>
              </w:rPr>
              <w:t>麻雀</w:t>
            </w:r>
          </w:p>
        </w:tc>
        <w:tc>
          <w:tcPr>
            <w:tcW w:w="2292" w:type="pct"/>
            <w:tcBorders>
              <w:tl2br w:val="nil"/>
              <w:tr2bl w:val="nil"/>
            </w:tcBorders>
            <w:vAlign w:val="center"/>
          </w:tcPr>
          <w:p>
            <w:pPr>
              <w:pStyle w:val="52"/>
              <w:rPr>
                <w:i/>
                <w:snapToGrid w:val="0"/>
                <w:color w:val="FF0000"/>
              </w:rPr>
            </w:pPr>
            <w:r>
              <w:rPr>
                <w:i/>
                <w:snapToGrid w:val="0"/>
                <w:color w:val="FF0000"/>
              </w:rPr>
              <w:t>Passer montanus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8</w:t>
            </w:r>
          </w:p>
        </w:tc>
        <w:tc>
          <w:tcPr>
            <w:tcW w:w="1943" w:type="pct"/>
            <w:tcBorders>
              <w:tl2br w:val="nil"/>
              <w:tr2bl w:val="nil"/>
            </w:tcBorders>
            <w:vAlign w:val="center"/>
          </w:tcPr>
          <w:p>
            <w:pPr>
              <w:pStyle w:val="52"/>
              <w:rPr>
                <w:snapToGrid w:val="0"/>
                <w:color w:val="FF0000"/>
              </w:rPr>
            </w:pPr>
            <w:r>
              <w:rPr>
                <w:snapToGrid w:val="0"/>
                <w:color w:val="FF0000"/>
              </w:rPr>
              <w:t>百灵</w:t>
            </w:r>
          </w:p>
        </w:tc>
        <w:tc>
          <w:tcPr>
            <w:tcW w:w="2292" w:type="pct"/>
            <w:tcBorders>
              <w:tl2br w:val="nil"/>
              <w:tr2bl w:val="nil"/>
            </w:tcBorders>
            <w:vAlign w:val="center"/>
          </w:tcPr>
          <w:p>
            <w:pPr>
              <w:pStyle w:val="52"/>
              <w:rPr>
                <w:i/>
                <w:snapToGrid w:val="0"/>
                <w:color w:val="FF0000"/>
              </w:rPr>
            </w:pPr>
            <w:r>
              <w:rPr>
                <w:i/>
                <w:snapToGrid w:val="0"/>
                <w:color w:val="FF0000"/>
              </w:rPr>
              <w:t>Eremophila alpestris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四、哺乳纲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lang w:val="it-IT"/>
              </w:rPr>
            </w:pPr>
            <w:r>
              <w:rPr>
                <w:rFonts w:hint="eastAsia"/>
                <w:snapToGrid w:val="0"/>
                <w:color w:val="FF0000"/>
                <w:lang w:val="it-IT" w:eastAsia="zh-CN"/>
              </w:rPr>
              <w:t>（</w:t>
            </w:r>
            <w:r>
              <w:rPr>
                <w:snapToGrid w:val="0"/>
                <w:color w:val="FF0000"/>
              </w:rPr>
              <w:t>四</w:t>
            </w:r>
            <w:r>
              <w:rPr>
                <w:rFonts w:hint="eastAsia"/>
                <w:snapToGrid w:val="0"/>
                <w:color w:val="FF0000"/>
                <w:lang w:val="it-IT" w:eastAsia="zh-CN"/>
              </w:rPr>
              <w:t>）</w:t>
            </w:r>
            <w:r>
              <w:rPr>
                <w:snapToGrid w:val="0"/>
                <w:color w:val="FF0000"/>
              </w:rPr>
              <w:t>食肉目</w:t>
            </w:r>
            <w:r>
              <w:rPr>
                <w:snapToGrid w:val="0"/>
                <w:color w:val="FF0000"/>
                <w:lang w:val="it-IT"/>
              </w:rPr>
              <w:t>INSETIVORA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9</w:t>
            </w:r>
          </w:p>
        </w:tc>
        <w:tc>
          <w:tcPr>
            <w:tcW w:w="1943" w:type="pct"/>
            <w:tcBorders>
              <w:tl2br w:val="nil"/>
              <w:tr2bl w:val="nil"/>
            </w:tcBorders>
            <w:vAlign w:val="center"/>
          </w:tcPr>
          <w:p>
            <w:pPr>
              <w:pStyle w:val="52"/>
              <w:rPr>
                <w:snapToGrid w:val="0"/>
                <w:color w:val="FF0000"/>
              </w:rPr>
            </w:pPr>
            <w:r>
              <w:rPr>
                <w:snapToGrid w:val="0"/>
                <w:color w:val="FF0000"/>
              </w:rPr>
              <w:t>艾鼬</w:t>
            </w:r>
          </w:p>
        </w:tc>
        <w:tc>
          <w:tcPr>
            <w:tcW w:w="2292" w:type="pct"/>
            <w:tcBorders>
              <w:tl2br w:val="nil"/>
              <w:tr2bl w:val="nil"/>
            </w:tcBorders>
            <w:vAlign w:val="center"/>
          </w:tcPr>
          <w:p>
            <w:pPr>
              <w:pStyle w:val="52"/>
              <w:rPr>
                <w:i/>
                <w:snapToGrid w:val="0"/>
                <w:color w:val="FF0000"/>
              </w:rPr>
            </w:pPr>
            <w:r>
              <w:rPr>
                <w:i/>
                <w:snapToGrid w:val="0"/>
                <w:color w:val="FF0000"/>
              </w:rPr>
              <w:t>Mustela eversmanni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10</w:t>
            </w:r>
          </w:p>
        </w:tc>
        <w:tc>
          <w:tcPr>
            <w:tcW w:w="1943" w:type="pct"/>
            <w:tcBorders>
              <w:tl2br w:val="nil"/>
              <w:tr2bl w:val="nil"/>
            </w:tcBorders>
            <w:vAlign w:val="center"/>
          </w:tcPr>
          <w:p>
            <w:pPr>
              <w:pStyle w:val="52"/>
              <w:rPr>
                <w:snapToGrid w:val="0"/>
                <w:color w:val="FF0000"/>
              </w:rPr>
            </w:pPr>
            <w:r>
              <w:rPr>
                <w:snapToGrid w:val="0"/>
                <w:color w:val="FF0000"/>
              </w:rPr>
              <w:t>黄鼬</w:t>
            </w:r>
          </w:p>
        </w:tc>
        <w:tc>
          <w:tcPr>
            <w:tcW w:w="2292" w:type="pct"/>
            <w:tcBorders>
              <w:tl2br w:val="nil"/>
              <w:tr2bl w:val="nil"/>
            </w:tcBorders>
            <w:vAlign w:val="center"/>
          </w:tcPr>
          <w:p>
            <w:pPr>
              <w:pStyle w:val="52"/>
              <w:rPr>
                <w:i/>
                <w:snapToGrid w:val="0"/>
                <w:color w:val="FF0000"/>
              </w:rPr>
            </w:pPr>
            <w:r>
              <w:rPr>
                <w:i/>
                <w:snapToGrid w:val="0"/>
                <w:color w:val="FF0000"/>
              </w:rPr>
              <w:t>M.sibirica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五</w:t>
            </w:r>
            <w:r>
              <w:rPr>
                <w:rFonts w:hint="eastAsia"/>
                <w:snapToGrid w:val="0"/>
                <w:color w:val="FF0000"/>
                <w:lang w:eastAsia="zh-CN"/>
              </w:rPr>
              <w:t>）</w:t>
            </w:r>
            <w:r>
              <w:rPr>
                <w:snapToGrid w:val="0"/>
                <w:color w:val="FF0000"/>
              </w:rPr>
              <w:t>兔形目LAGOMORPHA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11</w:t>
            </w:r>
          </w:p>
        </w:tc>
        <w:tc>
          <w:tcPr>
            <w:tcW w:w="1943" w:type="pct"/>
            <w:tcBorders>
              <w:tl2br w:val="nil"/>
              <w:tr2bl w:val="nil"/>
            </w:tcBorders>
            <w:vAlign w:val="center"/>
          </w:tcPr>
          <w:p>
            <w:pPr>
              <w:pStyle w:val="52"/>
              <w:rPr>
                <w:snapToGrid w:val="0"/>
                <w:color w:val="FF0000"/>
              </w:rPr>
            </w:pPr>
            <w:r>
              <w:rPr>
                <w:snapToGrid w:val="0"/>
                <w:color w:val="FF0000"/>
              </w:rPr>
              <w:t>草兔</w:t>
            </w:r>
          </w:p>
        </w:tc>
        <w:tc>
          <w:tcPr>
            <w:tcW w:w="2292" w:type="pct"/>
            <w:tcBorders>
              <w:tl2br w:val="nil"/>
              <w:tr2bl w:val="nil"/>
            </w:tcBorders>
            <w:vAlign w:val="center"/>
          </w:tcPr>
          <w:p>
            <w:pPr>
              <w:pStyle w:val="52"/>
              <w:rPr>
                <w:i/>
                <w:snapToGrid w:val="0"/>
                <w:color w:val="FF0000"/>
              </w:rPr>
            </w:pPr>
            <w:r>
              <w:rPr>
                <w:i/>
                <w:snapToGrid w:val="0"/>
                <w:color w:val="FF0000"/>
              </w:rPr>
              <w:t>Lepus capensis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12</w:t>
            </w:r>
          </w:p>
        </w:tc>
        <w:tc>
          <w:tcPr>
            <w:tcW w:w="1943" w:type="pct"/>
            <w:tcBorders>
              <w:tl2br w:val="nil"/>
              <w:tr2bl w:val="nil"/>
            </w:tcBorders>
            <w:vAlign w:val="center"/>
          </w:tcPr>
          <w:p>
            <w:pPr>
              <w:pStyle w:val="52"/>
              <w:rPr>
                <w:snapToGrid w:val="0"/>
                <w:color w:val="FF0000"/>
              </w:rPr>
            </w:pPr>
            <w:r>
              <w:rPr>
                <w:snapToGrid w:val="0"/>
                <w:color w:val="FF0000"/>
              </w:rPr>
              <w:t>蒙古兔</w:t>
            </w:r>
          </w:p>
        </w:tc>
        <w:tc>
          <w:tcPr>
            <w:tcW w:w="2292" w:type="pct"/>
            <w:tcBorders>
              <w:tl2br w:val="nil"/>
              <w:tr2bl w:val="nil"/>
            </w:tcBorders>
            <w:vAlign w:val="center"/>
          </w:tcPr>
          <w:p>
            <w:pPr>
              <w:pStyle w:val="52"/>
              <w:rPr>
                <w:i/>
                <w:snapToGrid w:val="0"/>
                <w:color w:val="FF0000"/>
              </w:rPr>
            </w:pPr>
            <w:r>
              <w:rPr>
                <w:i/>
                <w:snapToGrid w:val="0"/>
                <w:color w:val="FF0000"/>
              </w:rPr>
              <w:t>Ochotona daurica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六</w:t>
            </w:r>
            <w:r>
              <w:rPr>
                <w:rFonts w:hint="eastAsia"/>
                <w:snapToGrid w:val="0"/>
                <w:color w:val="FF0000"/>
                <w:lang w:eastAsia="zh-CN"/>
              </w:rPr>
              <w:t>）</w:t>
            </w:r>
            <w:r>
              <w:rPr>
                <w:snapToGrid w:val="0"/>
                <w:color w:val="FF0000"/>
              </w:rPr>
              <w:t>啮齿目RODENTIA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13</w:t>
            </w:r>
          </w:p>
        </w:tc>
        <w:tc>
          <w:tcPr>
            <w:tcW w:w="1943" w:type="pct"/>
            <w:tcBorders>
              <w:tl2br w:val="nil"/>
              <w:tr2bl w:val="nil"/>
            </w:tcBorders>
            <w:vAlign w:val="center"/>
          </w:tcPr>
          <w:p>
            <w:pPr>
              <w:pStyle w:val="52"/>
              <w:rPr>
                <w:snapToGrid w:val="0"/>
                <w:color w:val="FF0000"/>
              </w:rPr>
            </w:pPr>
            <w:r>
              <w:rPr>
                <w:snapToGrid w:val="0"/>
                <w:color w:val="FF0000"/>
              </w:rPr>
              <w:t>五趾跳鼠</w:t>
            </w:r>
          </w:p>
        </w:tc>
        <w:tc>
          <w:tcPr>
            <w:tcW w:w="2292" w:type="pct"/>
            <w:tcBorders>
              <w:tl2br w:val="nil"/>
              <w:tr2bl w:val="nil"/>
            </w:tcBorders>
            <w:vAlign w:val="center"/>
          </w:tcPr>
          <w:p>
            <w:pPr>
              <w:pStyle w:val="52"/>
              <w:rPr>
                <w:i/>
                <w:snapToGrid w:val="0"/>
                <w:color w:val="FF0000"/>
              </w:rPr>
            </w:pPr>
            <w:r>
              <w:rPr>
                <w:i/>
                <w:snapToGrid w:val="0"/>
                <w:color w:val="FF0000"/>
              </w:rPr>
              <w:t>Allactaga sibirica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14</w:t>
            </w:r>
          </w:p>
        </w:tc>
        <w:tc>
          <w:tcPr>
            <w:tcW w:w="1943" w:type="pct"/>
            <w:tcBorders>
              <w:tl2br w:val="nil"/>
              <w:tr2bl w:val="nil"/>
            </w:tcBorders>
            <w:vAlign w:val="center"/>
          </w:tcPr>
          <w:p>
            <w:pPr>
              <w:pStyle w:val="52"/>
              <w:rPr>
                <w:snapToGrid w:val="0"/>
                <w:color w:val="FF0000"/>
              </w:rPr>
            </w:pPr>
            <w:r>
              <w:rPr>
                <w:snapToGrid w:val="0"/>
                <w:color w:val="FF0000"/>
              </w:rPr>
              <w:t>褐家鼠</w:t>
            </w:r>
          </w:p>
        </w:tc>
        <w:tc>
          <w:tcPr>
            <w:tcW w:w="2292" w:type="pct"/>
            <w:tcBorders>
              <w:tl2br w:val="nil"/>
              <w:tr2bl w:val="nil"/>
            </w:tcBorders>
            <w:vAlign w:val="center"/>
          </w:tcPr>
          <w:p>
            <w:pPr>
              <w:pStyle w:val="52"/>
              <w:rPr>
                <w:i/>
                <w:snapToGrid w:val="0"/>
                <w:color w:val="FF0000"/>
              </w:rPr>
            </w:pPr>
            <w:r>
              <w:rPr>
                <w:i/>
                <w:snapToGrid w:val="0"/>
                <w:color w:val="FF0000"/>
              </w:rPr>
              <w:t>Rattus norvegicus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15</w:t>
            </w:r>
          </w:p>
        </w:tc>
        <w:tc>
          <w:tcPr>
            <w:tcW w:w="1943" w:type="pct"/>
            <w:tcBorders>
              <w:tl2br w:val="nil"/>
              <w:tr2bl w:val="nil"/>
            </w:tcBorders>
            <w:vAlign w:val="center"/>
          </w:tcPr>
          <w:p>
            <w:pPr>
              <w:pStyle w:val="52"/>
              <w:rPr>
                <w:snapToGrid w:val="0"/>
                <w:color w:val="FF0000"/>
              </w:rPr>
            </w:pPr>
            <w:r>
              <w:rPr>
                <w:snapToGrid w:val="0"/>
                <w:color w:val="FF0000"/>
              </w:rPr>
              <w:t>小家鼠</w:t>
            </w:r>
          </w:p>
        </w:tc>
        <w:tc>
          <w:tcPr>
            <w:tcW w:w="2292" w:type="pct"/>
            <w:tcBorders>
              <w:tl2br w:val="nil"/>
              <w:tr2bl w:val="nil"/>
            </w:tcBorders>
            <w:vAlign w:val="center"/>
          </w:tcPr>
          <w:p>
            <w:pPr>
              <w:pStyle w:val="52"/>
              <w:rPr>
                <w:i/>
                <w:snapToGrid w:val="0"/>
                <w:color w:val="FF0000"/>
              </w:rPr>
            </w:pPr>
            <w:r>
              <w:rPr>
                <w:i/>
                <w:snapToGrid w:val="0"/>
                <w:color w:val="FF0000"/>
              </w:rPr>
              <w:t>Mus musculus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16</w:t>
            </w:r>
          </w:p>
        </w:tc>
        <w:tc>
          <w:tcPr>
            <w:tcW w:w="1943" w:type="pct"/>
            <w:tcBorders>
              <w:tl2br w:val="nil"/>
              <w:tr2bl w:val="nil"/>
            </w:tcBorders>
            <w:vAlign w:val="center"/>
          </w:tcPr>
          <w:p>
            <w:pPr>
              <w:pStyle w:val="52"/>
              <w:rPr>
                <w:snapToGrid w:val="0"/>
                <w:color w:val="FF0000"/>
              </w:rPr>
            </w:pPr>
            <w:r>
              <w:rPr>
                <w:snapToGrid w:val="0"/>
                <w:color w:val="FF0000"/>
              </w:rPr>
              <w:t>黑线仓鼠</w:t>
            </w:r>
          </w:p>
        </w:tc>
        <w:tc>
          <w:tcPr>
            <w:tcW w:w="2292" w:type="pct"/>
            <w:tcBorders>
              <w:tl2br w:val="nil"/>
              <w:tr2bl w:val="nil"/>
            </w:tcBorders>
            <w:vAlign w:val="center"/>
          </w:tcPr>
          <w:p>
            <w:pPr>
              <w:pStyle w:val="52"/>
              <w:rPr>
                <w:i/>
                <w:snapToGrid w:val="0"/>
                <w:color w:val="FF0000"/>
              </w:rPr>
            </w:pPr>
            <w:r>
              <w:rPr>
                <w:i/>
                <w:snapToGrid w:val="0"/>
                <w:color w:val="FF0000"/>
              </w:rPr>
              <w:t>Cricetulus barabensis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17</w:t>
            </w:r>
          </w:p>
        </w:tc>
        <w:tc>
          <w:tcPr>
            <w:tcW w:w="1943" w:type="pct"/>
            <w:tcBorders>
              <w:tl2br w:val="nil"/>
              <w:tr2bl w:val="nil"/>
            </w:tcBorders>
            <w:vAlign w:val="center"/>
          </w:tcPr>
          <w:p>
            <w:pPr>
              <w:pStyle w:val="52"/>
              <w:rPr>
                <w:snapToGrid w:val="0"/>
                <w:color w:val="FF0000"/>
              </w:rPr>
            </w:pPr>
            <w:r>
              <w:rPr>
                <w:snapToGrid w:val="0"/>
                <w:color w:val="FF0000"/>
              </w:rPr>
              <w:t>小毛足鼠</w:t>
            </w:r>
          </w:p>
        </w:tc>
        <w:tc>
          <w:tcPr>
            <w:tcW w:w="2292" w:type="pct"/>
            <w:tcBorders>
              <w:tl2br w:val="nil"/>
              <w:tr2bl w:val="nil"/>
            </w:tcBorders>
            <w:vAlign w:val="center"/>
          </w:tcPr>
          <w:p>
            <w:pPr>
              <w:pStyle w:val="52"/>
              <w:rPr>
                <w:i/>
                <w:snapToGrid w:val="0"/>
                <w:color w:val="FF0000"/>
              </w:rPr>
            </w:pPr>
            <w:r>
              <w:rPr>
                <w:i/>
                <w:snapToGrid w:val="0"/>
                <w:color w:val="FF0000"/>
              </w:rPr>
              <w:t>Phodopus roborovskii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18</w:t>
            </w:r>
          </w:p>
        </w:tc>
        <w:tc>
          <w:tcPr>
            <w:tcW w:w="1943" w:type="pct"/>
            <w:tcBorders>
              <w:tl2br w:val="nil"/>
              <w:tr2bl w:val="nil"/>
            </w:tcBorders>
            <w:vAlign w:val="center"/>
          </w:tcPr>
          <w:p>
            <w:pPr>
              <w:pStyle w:val="52"/>
              <w:rPr>
                <w:snapToGrid w:val="0"/>
                <w:color w:val="FF0000"/>
              </w:rPr>
            </w:pPr>
            <w:r>
              <w:rPr>
                <w:snapToGrid w:val="0"/>
                <w:color w:val="FF0000"/>
              </w:rPr>
              <w:t>布氏田鼠</w:t>
            </w:r>
          </w:p>
        </w:tc>
        <w:tc>
          <w:tcPr>
            <w:tcW w:w="2292" w:type="pct"/>
            <w:tcBorders>
              <w:tl2br w:val="nil"/>
              <w:tr2bl w:val="nil"/>
            </w:tcBorders>
            <w:vAlign w:val="center"/>
          </w:tcPr>
          <w:p>
            <w:pPr>
              <w:pStyle w:val="52"/>
              <w:rPr>
                <w:i/>
                <w:snapToGrid w:val="0"/>
                <w:color w:val="FF0000"/>
              </w:rPr>
            </w:pPr>
            <w:r>
              <w:rPr>
                <w:i/>
                <w:snapToGrid w:val="0"/>
                <w:color w:val="FF0000"/>
              </w:rPr>
              <w:t>Microtus brandti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19</w:t>
            </w:r>
          </w:p>
        </w:tc>
        <w:tc>
          <w:tcPr>
            <w:tcW w:w="1943" w:type="pct"/>
            <w:tcBorders>
              <w:tl2br w:val="nil"/>
              <w:tr2bl w:val="nil"/>
            </w:tcBorders>
            <w:vAlign w:val="center"/>
          </w:tcPr>
          <w:p>
            <w:pPr>
              <w:pStyle w:val="52"/>
              <w:rPr>
                <w:snapToGrid w:val="0"/>
                <w:color w:val="FF0000"/>
              </w:rPr>
            </w:pPr>
            <w:r>
              <w:rPr>
                <w:snapToGrid w:val="0"/>
                <w:color w:val="FF0000"/>
              </w:rPr>
              <w:t>草原鼢鼠</w:t>
            </w:r>
          </w:p>
        </w:tc>
        <w:tc>
          <w:tcPr>
            <w:tcW w:w="2292" w:type="pct"/>
            <w:tcBorders>
              <w:tl2br w:val="nil"/>
              <w:tr2bl w:val="nil"/>
            </w:tcBorders>
            <w:vAlign w:val="center"/>
          </w:tcPr>
          <w:p>
            <w:pPr>
              <w:pStyle w:val="52"/>
              <w:rPr>
                <w:i/>
                <w:snapToGrid w:val="0"/>
                <w:color w:val="FF0000"/>
              </w:rPr>
            </w:pPr>
            <w:r>
              <w:rPr>
                <w:i/>
                <w:snapToGrid w:val="0"/>
                <w:color w:val="FF0000"/>
              </w:rPr>
              <w:t>Myospalax aspalax</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highlight w:val="none"/>
          <w:lang w:val="en-US" w:eastAsia="zh-CN"/>
        </w:rPr>
      </w:pPr>
      <w:bookmarkStart w:id="162" w:name="_Toc43286958"/>
      <w:r>
        <w:rPr>
          <w:rFonts w:hint="eastAsia" w:ascii="Times New Roman" w:hAnsi="Times New Roman" w:eastAsia="宋体" w:cs="Times New Roman"/>
          <w:b/>
          <w:bCs/>
          <w:color w:val="auto"/>
          <w:highlight w:val="none"/>
          <w:lang w:val="en-US" w:eastAsia="zh-CN"/>
        </w:rPr>
        <w:t>4.2.4.6 评价区生态环境现状综合评价</w:t>
      </w:r>
      <w:bookmarkEnd w:id="16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sz w:val="24"/>
        </w:rPr>
        <w:t>项目区地处干旱草原与荒漠草原过渡地区，由于超载放牧和风蚀、水蚀影响，使得该地区植被覆盖度低，植物群落生产力低下。评价区内主要以典型草原植被为主，其中以小叶锦鸡儿、</w:t>
      </w:r>
      <w:r>
        <w:rPr>
          <w:rFonts w:hint="eastAsia" w:eastAsia="宋体"/>
          <w:sz w:val="24"/>
          <w:lang w:val="en-US" w:eastAsia="zh-CN"/>
        </w:rPr>
        <w:t>芨芨草等</w:t>
      </w:r>
      <w:r>
        <w:rPr>
          <w:rFonts w:hint="eastAsia" w:eastAsia="宋体"/>
          <w:sz w:val="24"/>
        </w:rPr>
        <w:t>为评价区内的优势种群。土地利用类型主要为草地及工矿用地。主要地带性土壤类型为栗钙土，非地带性土壤为风沙土，质地为砂壤土，土壤瘠薄，养分含量低，低氮中磷区。区域内未发现有珍稀濒危野生动物栖息与繁殖地分布。总体来看，本项目所在地区域植被以灌木、半灌木、多年生草本和一、二年生草本为主，植被覆盖度为20～25%左右，干草产量</w:t>
      </w:r>
      <w:r>
        <w:rPr>
          <w:rFonts w:hint="eastAsia" w:eastAsia="宋体"/>
          <w:sz w:val="24"/>
          <w:lang w:val="en-US" w:eastAsia="zh-CN"/>
        </w:rPr>
        <w:t>5</w:t>
      </w:r>
      <w:r>
        <w:rPr>
          <w:rFonts w:hint="eastAsia" w:eastAsia="宋体"/>
          <w:sz w:val="24"/>
        </w:rPr>
        <w:t>0kg/亩左右，土壤流失严重，生态环境较弱。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yellow"/>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yellow"/>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eastAsia="zh-CN"/>
        </w:rPr>
      </w:pPr>
    </w:p>
    <w:p>
      <w:pPr>
        <w:pStyle w:val="20"/>
        <w:rPr>
          <w:rFonts w:hint="eastAsia" w:ascii="Times New Roman" w:hAnsi="Times New Roman"/>
          <w:highlight w:val="yellow"/>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ascii="Times New Roman" w:hAnsi="Times New Roman" w:eastAsia="宋体"/>
          <w:b/>
          <w:bCs w:val="0"/>
          <w:color w:val="auto"/>
          <w:sz w:val="36"/>
          <w:szCs w:val="30"/>
          <w:highlight w:val="none"/>
        </w:rPr>
      </w:pPr>
      <w:bookmarkStart w:id="163" w:name="_Toc26229"/>
      <w:r>
        <w:rPr>
          <w:rFonts w:hint="eastAsia" w:ascii="Times New Roman" w:hAnsi="Times New Roman" w:eastAsia="宋体"/>
          <w:b/>
          <w:bCs w:val="0"/>
          <w:color w:val="auto"/>
          <w:sz w:val="36"/>
          <w:szCs w:val="30"/>
          <w:highlight w:val="none"/>
        </w:rPr>
        <w:t>5 环境影响预测与分析</w:t>
      </w:r>
      <w:bookmarkEnd w:id="163"/>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ascii="Times New Roman" w:hAnsi="Times New Roman" w:eastAsia="宋体"/>
          <w:b/>
          <w:bCs/>
          <w:color w:val="auto"/>
          <w:highlight w:val="none"/>
          <w:lang w:val="en-US" w:eastAsia="zh-CN"/>
        </w:rPr>
      </w:pPr>
      <w:bookmarkStart w:id="164" w:name="_Toc31676"/>
      <w:r>
        <w:rPr>
          <w:rFonts w:hint="eastAsia" w:ascii="Times New Roman" w:hAnsi="Times New Roman" w:eastAsia="宋体"/>
          <w:b/>
          <w:bCs/>
          <w:color w:val="auto"/>
          <w:highlight w:val="none"/>
          <w:lang w:val="en-US" w:eastAsia="zh-CN"/>
        </w:rPr>
        <w:t>5.1 施工期环境影响分析</w:t>
      </w:r>
      <w:bookmarkEnd w:id="164"/>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65" w:name="_bookmark70"/>
      <w:bookmarkEnd w:id="165"/>
      <w:bookmarkStart w:id="166" w:name="4.1.1大气环境影响分析"/>
      <w:bookmarkEnd w:id="166"/>
      <w:bookmarkStart w:id="167" w:name="_Toc25680"/>
      <w:r>
        <w:rPr>
          <w:rFonts w:hint="eastAsia" w:ascii="Times New Roman" w:hAnsi="Times New Roman" w:eastAsia="宋体"/>
          <w:b/>
          <w:bCs/>
          <w:color w:val="auto"/>
          <w:sz w:val="30"/>
          <w:highlight w:val="none"/>
          <w:lang w:val="en-US" w:eastAsia="zh-CN"/>
        </w:rPr>
        <w:t>5.1.1 大气环境影响分析</w:t>
      </w:r>
      <w:bookmarkEnd w:id="167"/>
    </w:p>
    <w:p>
      <w:pPr>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68" w:name="4.1.1.1施工扬尘"/>
      <w:bookmarkEnd w:id="168"/>
      <w:r>
        <w:rPr>
          <w:rFonts w:hint="eastAsia" w:ascii="Times New Roman" w:hAnsi="Times New Roman" w:eastAsia="宋体" w:cs="Times New Roman"/>
          <w:b/>
          <w:bCs/>
          <w:color w:val="auto"/>
          <w:kern w:val="2"/>
          <w:sz w:val="24"/>
          <w:szCs w:val="24"/>
          <w:highlight w:val="none"/>
          <w:lang w:val="en-US" w:eastAsia="zh-CN" w:bidi="ar-SA"/>
        </w:rPr>
        <w:t>5.1.1.1 施工扬尘</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（1）扬尘来源及污染特征 </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建设产生的扬尘主要集中在土建施工阶段，土地平整、表土剥离、开挖、回填、建材运输、露天堆放、装卸和搅拌等过程，如遇干旱无雨季节，在大风时，施工扬尘将更严重。按起尘的原因可分为风力起尘和动力起尘。其中风力起尘主要是由于露天堆放的建材（如黄沙、水泥等）及裸露的施工区表层浮尘由于天气干燥及大风，产生风力扬尘；动力起尘主要是在建材装卸、搅拌的过程中，由于外力而产生的尘粒再悬浮而造成。</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在施工期间，决定扬尘污染程度的主要因素有：施工作业方式，原材料堆放形式和风力大小等，其中受风力因素影响较大。一般情况下，风力起尘主要与堆放材料粒径、表面含水率、地面粗糙度、地面风速等因素有关；动力起尘与材料粒径、地面风速、装卸高度、装卸强度等因素有关，其中，地面风速的影响较大。</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（2）影响范围及影响分析</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表土剥离、土石方开挖扬尘污染严重，空气中扬尘浓度可达1.75mg/m³，随着距离的增加，TSP 浓度迅速下降，影响范围主要集中扬尘点下风向近距离内，随着距离的增加，浓度迅速减小，具有明显的局地污染特征。扬尘影响范围主要在施工场地外150m内，在扬尘点下风向0～50m为重污染带，50～100m为较重污染带，100～150m为轻污染带，项目区域外150m环境空气质量可符合《环境空气质量标准》（GB3095-2012）二级标准。根据现场调查，项目各施工场地周边150m内无居民居住，故施工扬尘对周边环境的影响在可接受的范围内，且随施工期的结束而结束。对周边大气环境影响较小。</w:t>
      </w:r>
    </w:p>
    <w:p>
      <w:pPr>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69" w:name="4.1.1.2运输扬尘"/>
      <w:bookmarkEnd w:id="169"/>
      <w:r>
        <w:rPr>
          <w:rFonts w:hint="eastAsia" w:ascii="Times New Roman" w:hAnsi="Times New Roman" w:eastAsia="宋体" w:cs="Times New Roman"/>
          <w:b/>
          <w:bCs/>
          <w:color w:val="auto"/>
          <w:kern w:val="2"/>
          <w:sz w:val="24"/>
          <w:szCs w:val="24"/>
          <w:highlight w:val="none"/>
          <w:lang w:val="en-US" w:eastAsia="zh-CN" w:bidi="ar-SA"/>
        </w:rPr>
        <w:t>5.1.1.2 运输扬尘</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sectPr>
          <w:footerReference r:id="rId18" w:type="default"/>
          <w:pgSz w:w="11910" w:h="16840"/>
          <w:pgMar w:top="1080" w:right="1560" w:bottom="1320" w:left="1680" w:header="0" w:footer="1131"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bCs w:val="0"/>
          <w:color w:val="auto"/>
          <w:kern w:val="2"/>
          <w:sz w:val="24"/>
          <w:szCs w:val="24"/>
          <w:highlight w:val="none"/>
          <w:lang w:val="en-US" w:eastAsia="zh-CN" w:bidi="ar-SA"/>
        </w:rPr>
        <w:t>据有关文献报导，车辆行驶产生的扬尘占总扬尘的60％以上，在完全干燥情况下，运输可按经验公式计算：</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position w:val="-28"/>
          <w:sz w:val="24"/>
          <w:szCs w:val="24"/>
          <w:highlight w:val="none"/>
          <w:lang w:val="en-US" w:eastAsia="zh-CN" w:bidi="ar-SA"/>
        </w:rPr>
        <w:object>
          <v:shape id="_x0000_i1025" o:spt="75" type="#_x0000_t75" style="height:37pt;width:162pt;" o:ole="t" filled="f" o:preferrelative="t" stroked="f" coordsize="21600,21600">
            <v:path/>
            <v:fill on="f" focussize="0,0"/>
            <v:stroke on="f"/>
            <v:imagedata r:id="rId45" o:title=""/>
            <o:lock v:ext="edit" aspectratio="t"/>
            <w10:wrap type="none"/>
            <w10:anchorlock/>
          </v:shape>
          <o:OLEObject Type="Embed" ProgID="Equation.KSEE3" ShapeID="_x0000_i1025" DrawAspect="Content" ObjectID="_1468075725" r:id="rId44">
            <o:LockedField>false</o:LockedField>
          </o:OLEObject>
        </w:objec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both"/>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式中：Q—汽车行驶的扬尘，kg/km·辆；</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720" w:firstLineChars="3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v—汽车速度，km/h；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720" w:firstLineChars="3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W—汽车载重量，t；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720" w:firstLineChars="3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P—道路表面粉尘量，kg/m</w:t>
      </w:r>
      <w:r>
        <w:rPr>
          <w:rFonts w:hint="eastAsia" w:ascii="Times New Roman" w:hAnsi="Times New Roman" w:eastAsia="宋体" w:cs="Times New Roman"/>
          <w:bCs w:val="0"/>
          <w:color w:val="auto"/>
          <w:kern w:val="2"/>
          <w:sz w:val="24"/>
          <w:szCs w:val="24"/>
          <w:highlight w:val="none"/>
          <w:vertAlign w:val="superscript"/>
          <w:lang w:val="en-US" w:eastAsia="zh-CN" w:bidi="ar-SA"/>
        </w:rPr>
        <w:t>2</w:t>
      </w:r>
      <w:r>
        <w:rPr>
          <w:rFonts w:hint="eastAsia" w:ascii="Times New Roman" w:hAnsi="Times New Roman" w:eastAsia="宋体" w:cs="Times New Roman"/>
          <w:bCs w:val="0"/>
          <w:color w:val="auto"/>
          <w:kern w:val="2"/>
          <w:sz w:val="24"/>
          <w:szCs w:val="24"/>
          <w:highlight w:val="none"/>
          <w:lang w:val="en-US" w:eastAsia="zh-CN" w:bidi="ar-SA"/>
        </w:rPr>
        <w:t>。</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一辆载重5t的卡车，通过一段长度为500m的路面时，不同表面清洁程度，不同行驶速度情况下产生的扬尘量如表5.1-1所示。</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表5.1-1</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不同车速和地面清洁程度时的汽车扬尘单位：kg/km·辆</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2"/>
        <w:gridCol w:w="1091"/>
        <w:gridCol w:w="1070"/>
        <w:gridCol w:w="1091"/>
        <w:gridCol w:w="1091"/>
        <w:gridCol w:w="1091"/>
        <w:gridCol w:w="103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right"/>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mc:AlternateContent>
                <mc:Choice Requires="wpg">
                  <w:drawing>
                    <wp:anchor distT="0" distB="0" distL="114300" distR="114300" simplePos="0" relativeHeight="251661312" behindDoc="1" locked="0" layoutInCell="1" allowOverlap="1">
                      <wp:simplePos x="0" y="0"/>
                      <wp:positionH relativeFrom="page">
                        <wp:posOffset>10160</wp:posOffset>
                      </wp:positionH>
                      <wp:positionV relativeFrom="paragraph">
                        <wp:posOffset>24130</wp:posOffset>
                      </wp:positionV>
                      <wp:extent cx="1282700" cy="637540"/>
                      <wp:effectExtent l="1905" t="4445" r="10795" b="5715"/>
                      <wp:wrapNone/>
                      <wp:docPr id="44" name="组合 44"/>
                      <wp:cNvGraphicFramePr/>
                      <a:graphic xmlns:a="http://schemas.openxmlformats.org/drawingml/2006/main">
                        <a:graphicData uri="http://schemas.microsoft.com/office/word/2010/wordprocessingGroup">
                          <wpg:wgp>
                            <wpg:cNvGrpSpPr/>
                            <wpg:grpSpPr>
                              <a:xfrm>
                                <a:off x="0" y="0"/>
                                <a:ext cx="1282700" cy="637540"/>
                                <a:chOff x="1695" y="492"/>
                                <a:chExt cx="2047" cy="629"/>
                              </a:xfrm>
                            </wpg:grpSpPr>
                            <wps:wsp>
                              <wps:cNvPr id="43" name="任意多边形 43"/>
                              <wps:cNvSpPr/>
                              <wps:spPr>
                                <a:xfrm>
                                  <a:off x="1695" y="492"/>
                                  <a:ext cx="2047" cy="629"/>
                                </a:xfrm>
                                <a:custGeom>
                                  <a:avLst/>
                                  <a:gdLst/>
                                  <a:ahLst/>
                                  <a:cxnLst/>
                                  <a:pathLst>
                                    <a:path w="2047" h="629">
                                      <a:moveTo>
                                        <a:pt x="0" y="0"/>
                                      </a:moveTo>
                                      <a:lnTo>
                                        <a:pt x="2047" y="629"/>
                                      </a:lnTo>
                                    </a:path>
                                  </a:pathLst>
                                </a:custGeom>
                                <a:noFill/>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8pt;margin-top:1.9pt;height:50.2pt;width:101pt;mso-position-horizontal-relative:page;z-index:-251655168;mso-width-relative:page;mso-height-relative:page;" coordorigin="1695,492" coordsize="2047,629" o:gfxdata="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KmH6dQAAAAHAQAADwAAAAAAAAABACAAAAAiAAAAZHJzL2Rvd25yZXYueG1sUEsBAhQAFAAAAAgA&#10;h07iQJ2AcG6bAgAAwgUAAA4AAAAAAAAAAQAgAAAAIwEAAGRycy9lMm9Eb2MueG1sUEsFBgAAAAAG&#10;AAYAWQEAADAGAAAAAA==&#10;">
                      <o:lock v:ext="edit" aspectratio="f"/>
                      <v:shape id="_x0000_s1026" o:spid="_x0000_s1026" o:spt="100" style="position:absolute;left:1695;top:492;height:629;width:2047;" filled="f" stroked="t" coordsize="2047,629" o:gfxdata="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Mt74A&#10;AADbAAAADwAAAAAAAAABACAAAAAiAAAAZHJzL2Rvd25yZXYueG1sUEsBAhQAFAAAAAgAh07iQDMv&#10;BZ47AAAAOQAAABAAAAAAAAAAAQAgAAAADQEAAGRycy9zaGFwZXhtbC54bWxQSwUGAAAAAAYABgBb&#10;AQAAtwMAAAAA&#10;" path="m0,0l2047,629e">
                        <v:fill on="f" focussize="0,0"/>
                        <v:stroke weight="0.5pt" color="#000000" joinstyle="round"/>
                        <v:imagedata o:title=""/>
                        <o:lock v:ext="edit" aspectratio="f"/>
                      </v:shape>
                    </v:group>
                  </w:pict>
                </mc:Fallback>
              </mc:AlternateContent>
            </w:r>
            <w:r>
              <w:rPr>
                <w:rFonts w:hint="eastAsia" w:ascii="Times New Roman" w:hAnsi="Times New Roman" w:eastAsia="宋体" w:cs="Times New Roman"/>
                <w:bCs w:val="0"/>
                <w:color w:val="auto"/>
                <w:kern w:val="2"/>
                <w:sz w:val="21"/>
                <w:szCs w:val="21"/>
                <w:highlight w:val="none"/>
                <w:lang w:val="en-US" w:eastAsia="zh-CN" w:bidi="ar-SA"/>
              </w:rPr>
              <w:t>P(kg/m</w:t>
            </w:r>
            <w:r>
              <w:rPr>
                <w:rFonts w:hint="eastAsia" w:ascii="Times New Roman" w:hAnsi="Times New Roman" w:eastAsia="宋体" w:cs="Times New Roman"/>
                <w:bCs w:val="0"/>
                <w:color w:val="auto"/>
                <w:kern w:val="2"/>
                <w:sz w:val="21"/>
                <w:szCs w:val="21"/>
                <w:highlight w:val="none"/>
                <w:vertAlign w:val="superscript"/>
                <w:lang w:val="en-US" w:eastAsia="zh-CN" w:bidi="ar-SA"/>
              </w:rPr>
              <w:t>2</w:t>
            </w:r>
            <w:r>
              <w:rPr>
                <w:rFonts w:hint="eastAsia" w:ascii="Times New Roman" w:hAnsi="Times New Roman" w:eastAsia="宋体" w:cs="Times New Roman"/>
                <w:bCs w:val="0"/>
                <w:color w:val="auto"/>
                <w:kern w:val="2"/>
                <w:sz w:val="21"/>
                <w:szCs w:val="21"/>
                <w:highlight w:val="none"/>
                <w:lang w:val="en-US" w:eastAsia="zh-CN" w:bidi="ar-SA"/>
              </w:rPr>
              <w:t>)</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left"/>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车速(km/h)</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0.4</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0.5</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0.0283</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0.0476</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0.0646</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0.0801</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0.0947</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0.1593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0.0566</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0.0953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0.1291</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0.1602</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0.1894</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0.3186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15</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0.0850</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0.1429</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0.1937</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0.2403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0.2841</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0.4778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20</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0.1133</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0.1905</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0.2583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0.3204</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0.3788</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0.6371</w:t>
            </w:r>
          </w:p>
        </w:tc>
      </w:tr>
    </w:tbl>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由表5.1-1 可见，在同样路面清洁情况下，车速越快，扬尘量越大；而在同样车速情况下，路面清洁度越差，则扬尘量越大。根据类比调查，一般情况下，施工道路在自然风作用下产生的扬尘所影响的范围在100m以内。</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项目内部运输道路为土路，拟建为砂石路，扬尘量较大，在对车辆加盖封闭及减速慢行之后，运输扬尘对周边环境的影响在可接受范围内。</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外部运输道路矿区-村通路段为油路，起尘量较小。在施工过程中对车辆加盖封闭及减速慢行之后，对运输道路两侧环境空气影响较小。</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70" w:name="4.1.1.3燃油废气及汽车尾气"/>
      <w:bookmarkEnd w:id="170"/>
      <w:r>
        <w:rPr>
          <w:rFonts w:hint="eastAsia" w:ascii="Times New Roman" w:hAnsi="Times New Roman" w:eastAsia="宋体" w:cs="Times New Roman"/>
          <w:b/>
          <w:bCs/>
          <w:color w:val="auto"/>
          <w:kern w:val="2"/>
          <w:sz w:val="24"/>
          <w:szCs w:val="24"/>
          <w:highlight w:val="none"/>
          <w:lang w:val="en-US" w:eastAsia="zh-CN" w:bidi="ar-SA"/>
        </w:rPr>
        <w:t xml:space="preserve">5.1.1.3 燃油废气及汽车尾气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施工机械及汽车大多以柴油作为燃料，燃料燃烧过程中会产生 CO、SO</w:t>
      </w:r>
      <w:r>
        <w:rPr>
          <w:rFonts w:hint="eastAsia" w:ascii="Times New Roman" w:hAnsi="Times New Roman" w:eastAsia="宋体" w:cs="Times New Roman"/>
          <w:bCs w:val="0"/>
          <w:color w:val="auto"/>
          <w:kern w:val="2"/>
          <w:sz w:val="24"/>
          <w:szCs w:val="24"/>
          <w:highlight w:val="none"/>
          <w:vertAlign w:val="subscript"/>
          <w:lang w:val="en-US" w:eastAsia="zh-CN" w:bidi="ar-SA"/>
        </w:rPr>
        <w:t>2</w:t>
      </w:r>
      <w:r>
        <w:rPr>
          <w:rFonts w:hint="eastAsia" w:ascii="Times New Roman" w:hAnsi="Times New Roman" w:eastAsia="宋体" w:cs="Times New Roman"/>
          <w:bCs w:val="0"/>
          <w:color w:val="auto"/>
          <w:kern w:val="2"/>
          <w:sz w:val="24"/>
          <w:szCs w:val="24"/>
          <w:highlight w:val="none"/>
          <w:lang w:val="en-US" w:eastAsia="zh-CN" w:bidi="ar-SA"/>
        </w:rPr>
        <w:t>、NO</w:t>
      </w:r>
      <w:r>
        <w:rPr>
          <w:rFonts w:hint="eastAsia" w:ascii="Times New Roman" w:hAnsi="Times New Roman" w:eastAsia="宋体" w:cs="Times New Roman"/>
          <w:bCs w:val="0"/>
          <w:color w:val="auto"/>
          <w:kern w:val="2"/>
          <w:sz w:val="24"/>
          <w:szCs w:val="24"/>
          <w:highlight w:val="none"/>
          <w:vertAlign w:val="subscript"/>
          <w:lang w:val="en-US" w:eastAsia="zh-CN" w:bidi="ar-SA"/>
        </w:rPr>
        <w:t>X</w:t>
      </w:r>
      <w:r>
        <w:rPr>
          <w:rFonts w:hint="eastAsia" w:ascii="Times New Roman" w:hAnsi="Times New Roman" w:eastAsia="宋体" w:cs="Times New Roman"/>
          <w:bCs w:val="0"/>
          <w:color w:val="auto"/>
          <w:kern w:val="2"/>
          <w:sz w:val="24"/>
          <w:szCs w:val="24"/>
          <w:highlight w:val="none"/>
          <w:lang w:val="en-US" w:eastAsia="zh-CN" w:bidi="ar-SA"/>
        </w:rPr>
        <w:t>、碳氢化合物和烟尘，产生情况主要决定因素为燃料油种类、机械性能、作业方式和风力等，其中属机械性能、作业方式因素的影响最大，如运输车辆和部分施工机械在怠速、减速和加速时产生的污染较为严重。各类施工机械流动性较强，且燃料用量不大，在易于扩散的气象条件下，该废气对周围环境的影响不大，且随着施工期的结束，该污染物也随即消失。运输车辆排放的汽车尾气对大气环境产生影响，因矿区建设过程中建筑材料运输量较少，汽车尾气排放量小，对环境影响轻微。故施工期燃油废气及汽车尾气对周围大气环境影响较小。</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71" w:name="4.1.2废水影响分析"/>
      <w:bookmarkEnd w:id="171"/>
      <w:bookmarkStart w:id="172" w:name="_bookmark71"/>
      <w:bookmarkEnd w:id="172"/>
      <w:bookmarkStart w:id="173" w:name="_Toc17484"/>
      <w:r>
        <w:rPr>
          <w:rFonts w:hint="eastAsia" w:ascii="Times New Roman" w:hAnsi="Times New Roman" w:eastAsia="宋体"/>
          <w:b/>
          <w:bCs/>
          <w:color w:val="auto"/>
          <w:sz w:val="30"/>
          <w:highlight w:val="none"/>
          <w:lang w:val="en-US" w:eastAsia="zh-CN"/>
        </w:rPr>
        <w:t>5.1.2 废水影响分析</w:t>
      </w:r>
      <w:bookmarkEnd w:id="173"/>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施工期废水主要包括建筑施工人员的生活污水、施工废水及机械冲洗废水。 </w:t>
      </w:r>
    </w:p>
    <w:p>
      <w:pPr>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生活污水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本项目施工阶段的生活污水依托生活区现有玻璃钢化粪池收集处理后，定期委托第三方拉运。</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（2）施工废水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施工废水包括混凝土废水、泥浆废水以及混凝土保养时排放的废水，在施工现场设置沉淀池沉淀后回用于生产。 所有施工废水均得到妥善处理，对周边水环境基本无影响。</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74" w:name="_bookmark72"/>
      <w:bookmarkEnd w:id="174"/>
      <w:bookmarkStart w:id="175" w:name="4.1.3噪声影响分析"/>
      <w:bookmarkEnd w:id="175"/>
      <w:bookmarkStart w:id="176" w:name="_Toc24160"/>
      <w:r>
        <w:rPr>
          <w:rFonts w:hint="eastAsia" w:ascii="Times New Roman" w:hAnsi="Times New Roman" w:eastAsia="宋体"/>
          <w:b/>
          <w:bCs/>
          <w:color w:val="auto"/>
          <w:sz w:val="30"/>
          <w:highlight w:val="none"/>
          <w:lang w:val="en-US" w:eastAsia="zh-CN"/>
        </w:rPr>
        <w:t>5.1.3 噪声影响分析</w:t>
      </w:r>
      <w:bookmarkEnd w:id="176"/>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77" w:name="4.1.3.1噪声污染特征"/>
      <w:bookmarkEnd w:id="177"/>
      <w:r>
        <w:rPr>
          <w:rFonts w:hint="eastAsia" w:ascii="Times New Roman" w:hAnsi="Times New Roman" w:eastAsia="宋体" w:cs="Times New Roman"/>
          <w:b/>
          <w:bCs/>
          <w:color w:val="auto"/>
          <w:kern w:val="2"/>
          <w:sz w:val="24"/>
          <w:szCs w:val="24"/>
          <w:highlight w:val="none"/>
          <w:lang w:val="en-US" w:eastAsia="zh-CN" w:bidi="ar-SA"/>
        </w:rPr>
        <w:t xml:space="preserve">5.1.3.1 噪声污染特征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施工期噪声主要指建筑工地施工和交通噪声两类。 </w:t>
      </w:r>
      <w:bookmarkStart w:id="178" w:name="4.1.3.2噪声来源及源强"/>
      <w:bookmarkEnd w:id="178"/>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5.1.3.2 噪声来源及源强</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施工噪声主要来源于施工机械，包括推土机、装载机、挖掘机及运输车辆。机械设备噪声大多为不连续性，为间歇性产生。施工期间多种机械噪声叠加，噪声达 100dB(A)以上。施工过程中产生的噪声具有间歇性和短暂性的特点，随着实施期的结束而消失。交通噪声具有流动性的特点。</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施工噪声中，对声环境影响最大的是机械设备噪声，其强度与机械设备的功率、工作状态等因素有关，各施工阶段的主要噪声源及源强见表3.6-1所示。</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79" w:name="4.1.3.3噪声影响预测模式"/>
      <w:bookmarkEnd w:id="179"/>
      <w:r>
        <w:rPr>
          <w:rFonts w:hint="eastAsia" w:ascii="Times New Roman" w:hAnsi="Times New Roman" w:eastAsia="宋体" w:cs="Times New Roman"/>
          <w:b/>
          <w:bCs/>
          <w:color w:val="auto"/>
          <w:kern w:val="2"/>
          <w:sz w:val="24"/>
          <w:szCs w:val="24"/>
          <w:highlight w:val="none"/>
          <w:lang w:val="en-US" w:eastAsia="zh-CN" w:bidi="ar-SA"/>
        </w:rPr>
        <w:t xml:space="preserve">5.1.3.3 噪声影响预测模式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施工过程中，各施工单元施工场地机械类型及数量波动较大，在不同的施工阶段、施工场地产生的噪声强度不同，很难准确预测施工场地厂界噪声值，因此，本评价根据不同施工阶段类比噪声水平，预测施工噪声影响距离。</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项目采用半自由声场几何发散衰减公式，计算施工噪声的影响距离和影响程 度，计算公式如下：</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L(r)=L(r</w:t>
      </w:r>
      <w:r>
        <w:rPr>
          <w:rFonts w:hint="eastAsia" w:ascii="Times New Roman" w:hAnsi="Times New Roman" w:eastAsia="宋体" w:cs="Times New Roman"/>
          <w:bCs w:val="0"/>
          <w:color w:val="auto"/>
          <w:kern w:val="2"/>
          <w:sz w:val="24"/>
          <w:szCs w:val="24"/>
          <w:highlight w:val="none"/>
          <w:vertAlign w:val="subscript"/>
          <w:lang w:val="en-US" w:eastAsia="zh-CN" w:bidi="ar-SA"/>
        </w:rPr>
        <w:t>0</w:t>
      </w:r>
      <w:r>
        <w:rPr>
          <w:rFonts w:hint="eastAsia" w:ascii="Times New Roman" w:hAnsi="Times New Roman" w:eastAsia="宋体" w:cs="Times New Roman"/>
          <w:bCs w:val="0"/>
          <w:color w:val="auto"/>
          <w:kern w:val="2"/>
          <w:sz w:val="24"/>
          <w:szCs w:val="24"/>
          <w:highlight w:val="none"/>
          <w:lang w:val="en-US" w:eastAsia="zh-CN" w:bidi="ar-SA"/>
        </w:rPr>
        <w:t xml:space="preserve"> )-20 lg(r / r</w:t>
      </w:r>
      <w:r>
        <w:rPr>
          <w:rFonts w:hint="eastAsia" w:ascii="Times New Roman" w:hAnsi="Times New Roman" w:eastAsia="宋体" w:cs="Times New Roman"/>
          <w:bCs w:val="0"/>
          <w:color w:val="auto"/>
          <w:kern w:val="2"/>
          <w:sz w:val="24"/>
          <w:szCs w:val="24"/>
          <w:highlight w:val="none"/>
          <w:vertAlign w:val="subscript"/>
          <w:lang w:val="en-US" w:eastAsia="zh-CN" w:bidi="ar-SA"/>
        </w:rPr>
        <w:t>0</w:t>
      </w:r>
      <w:r>
        <w:rPr>
          <w:rFonts w:hint="eastAsia" w:ascii="Times New Roman" w:hAnsi="Times New Roman" w:eastAsia="宋体" w:cs="Times New Roman"/>
          <w:bCs w:val="0"/>
          <w:color w:val="auto"/>
          <w:kern w:val="2"/>
          <w:sz w:val="24"/>
          <w:szCs w:val="24"/>
          <w:highlight w:val="none"/>
          <w:lang w:val="en-US" w:eastAsia="zh-CN" w:bidi="ar-SA"/>
        </w:rPr>
        <w:t>)</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式中：L（r）—点声源在预测点产生的噪声级 dB（A）；</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      L（r</w:t>
      </w:r>
      <w:r>
        <w:rPr>
          <w:rFonts w:hint="eastAsia" w:ascii="Times New Roman" w:hAnsi="Times New Roman" w:eastAsia="宋体" w:cs="Times New Roman"/>
          <w:bCs w:val="0"/>
          <w:color w:val="auto"/>
          <w:kern w:val="2"/>
          <w:sz w:val="24"/>
          <w:szCs w:val="24"/>
          <w:highlight w:val="none"/>
          <w:vertAlign w:val="subscript"/>
          <w:lang w:val="en-US" w:eastAsia="zh-CN" w:bidi="ar-SA"/>
        </w:rPr>
        <w:t>0</w:t>
      </w:r>
      <w:r>
        <w:rPr>
          <w:rFonts w:hint="eastAsia" w:ascii="Times New Roman" w:hAnsi="Times New Roman" w:eastAsia="宋体" w:cs="Times New Roman"/>
          <w:bCs w:val="0"/>
          <w:color w:val="auto"/>
          <w:kern w:val="2"/>
          <w:sz w:val="24"/>
          <w:szCs w:val="24"/>
          <w:highlight w:val="none"/>
          <w:lang w:val="en-US" w:eastAsia="zh-CN" w:bidi="ar-SA"/>
        </w:rPr>
        <w:t>）—参考位置 r0 处的已知噪声级 dB（A）</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不同施工场地噪声影响预测结果见表 5.1-2。</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 5.1-2</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施工场地噪声影响一览表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2070"/>
        <w:gridCol w:w="764"/>
        <w:gridCol w:w="631"/>
        <w:gridCol w:w="631"/>
        <w:gridCol w:w="631"/>
        <w:gridCol w:w="631"/>
        <w:gridCol w:w="631"/>
        <w:gridCol w:w="631"/>
        <w:gridCol w:w="631"/>
        <w:gridCol w:w="62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exact"/>
        </w:trPr>
        <w:tc>
          <w:tcPr>
            <w:tcW w:w="645"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序号</w:t>
            </w:r>
          </w:p>
        </w:tc>
        <w:tc>
          <w:tcPr>
            <w:tcW w:w="2070"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机械设备名称</w:t>
            </w:r>
          </w:p>
        </w:tc>
        <w:tc>
          <w:tcPr>
            <w:tcW w:w="764"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最大 源强</w:t>
            </w:r>
          </w:p>
        </w:tc>
        <w:tc>
          <w:tcPr>
            <w:tcW w:w="5043" w:type="dxa"/>
            <w:gridSpan w:val="8"/>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距声源不同距离（m）处噪声级值[dB（A）]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exact"/>
        </w:trPr>
        <w:tc>
          <w:tcPr>
            <w:tcW w:w="645"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2070"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764"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30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150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200</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300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推土机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90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78</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58</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挖掘机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53</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3</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混凝土搅拌机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95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81</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61</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装载机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86</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66</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56</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54</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矿井建设爆破噪声</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120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68</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50</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运输汽车</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57</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53</w:t>
            </w: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根据《建筑施工场界环境噪声排放标准》（GB12523-2011）及上表的预测结果，可知：在昼间200m范围内，噪声均达标排放；夜间300m范围内除混凝土搅拌机噪声超标外，均达标排放。</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本项目施工厂界距离最近的居民为</w:t>
      </w:r>
      <w:r>
        <w:rPr>
          <w:rFonts w:hint="eastAsia" w:eastAsia="宋体" w:cs="Times New Roman"/>
          <w:bCs w:val="0"/>
          <w:color w:val="auto"/>
          <w:kern w:val="2"/>
          <w:sz w:val="24"/>
          <w:szCs w:val="24"/>
          <w:highlight w:val="none"/>
          <w:lang w:val="en-US" w:eastAsia="zh-CN" w:bidi="ar-SA"/>
        </w:rPr>
        <w:t>东</w:t>
      </w:r>
      <w:r>
        <w:rPr>
          <w:rFonts w:hint="eastAsia" w:ascii="Times New Roman" w:hAnsi="Times New Roman" w:eastAsia="宋体" w:cs="Times New Roman"/>
          <w:bCs w:val="0"/>
          <w:color w:val="auto"/>
          <w:kern w:val="2"/>
          <w:sz w:val="24"/>
          <w:szCs w:val="24"/>
          <w:highlight w:val="none"/>
          <w:lang w:val="en-US" w:eastAsia="zh-CN" w:bidi="ar-SA"/>
        </w:rPr>
        <w:t>南</w:t>
      </w:r>
      <w:r>
        <w:rPr>
          <w:rFonts w:hint="eastAsia" w:eastAsia="宋体" w:cs="Times New Roman"/>
          <w:bCs w:val="0"/>
          <w:color w:val="auto"/>
          <w:kern w:val="2"/>
          <w:sz w:val="24"/>
          <w:szCs w:val="24"/>
          <w:highlight w:val="none"/>
          <w:lang w:val="en-US" w:eastAsia="zh-CN" w:bidi="ar-SA"/>
        </w:rPr>
        <w:t>10</w:t>
      </w:r>
      <w:r>
        <w:rPr>
          <w:rFonts w:hint="eastAsia" w:ascii="Times New Roman" w:hAnsi="Times New Roman" w:eastAsia="宋体" w:cs="Times New Roman"/>
          <w:bCs w:val="0"/>
          <w:color w:val="auto"/>
          <w:kern w:val="2"/>
          <w:sz w:val="24"/>
          <w:szCs w:val="24"/>
          <w:highlight w:val="none"/>
          <w:lang w:val="en-US" w:eastAsia="zh-CN" w:bidi="ar-SA"/>
        </w:rPr>
        <w:t>00m，施工设备均在昼间施工，不在夜间施工，故施工噪声不会对周围居民生活产生不良影响，且施工噪声影响特点为短期性、暂时性，一旦施工活动结束，施工噪声也就随之结束，对居民的影响较小。</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交通噪声影响范围为道路两侧200m，外部运输道路</w:t>
      </w:r>
      <w:r>
        <w:rPr>
          <w:rFonts w:hint="eastAsia" w:eastAsia="宋体" w:cs="Times New Roman"/>
          <w:bCs w:val="0"/>
          <w:color w:val="auto"/>
          <w:kern w:val="2"/>
          <w:sz w:val="24"/>
          <w:szCs w:val="24"/>
          <w:highlight w:val="none"/>
          <w:lang w:val="en-US" w:eastAsia="zh-CN" w:bidi="ar-SA"/>
        </w:rPr>
        <w:t>两</w:t>
      </w:r>
      <w:r>
        <w:rPr>
          <w:rFonts w:hint="eastAsia" w:ascii="Times New Roman" w:hAnsi="Times New Roman" w:eastAsia="宋体" w:cs="Times New Roman"/>
          <w:bCs w:val="0"/>
          <w:color w:val="auto"/>
          <w:kern w:val="2"/>
          <w:sz w:val="24"/>
          <w:szCs w:val="24"/>
          <w:highlight w:val="none"/>
          <w:lang w:val="en-US" w:eastAsia="zh-CN" w:bidi="ar-SA"/>
        </w:rPr>
        <w:t>侧200m范围内</w:t>
      </w:r>
      <w:r>
        <w:rPr>
          <w:rFonts w:hint="eastAsia" w:eastAsia="宋体" w:cs="Times New Roman"/>
          <w:bCs w:val="0"/>
          <w:color w:val="auto"/>
          <w:kern w:val="2"/>
          <w:sz w:val="24"/>
          <w:szCs w:val="24"/>
          <w:highlight w:val="none"/>
          <w:lang w:val="en-US" w:eastAsia="zh-CN" w:bidi="ar-SA"/>
        </w:rPr>
        <w:t>无</w:t>
      </w:r>
      <w:r>
        <w:rPr>
          <w:rFonts w:hint="eastAsia" w:ascii="Times New Roman" w:hAnsi="Times New Roman" w:eastAsia="宋体" w:cs="Times New Roman"/>
          <w:bCs w:val="0"/>
          <w:color w:val="auto"/>
          <w:kern w:val="2"/>
          <w:sz w:val="24"/>
          <w:szCs w:val="24"/>
          <w:highlight w:val="none"/>
          <w:lang w:val="en-US" w:eastAsia="zh-CN" w:bidi="ar-SA"/>
        </w:rPr>
        <w:t>敏感点</w:t>
      </w:r>
      <w:r>
        <w:rPr>
          <w:rFonts w:hint="eastAsia" w:eastAsia="宋体" w:cs="Times New Roman"/>
          <w:bCs w:val="0"/>
          <w:color w:val="auto"/>
          <w:kern w:val="2"/>
          <w:sz w:val="24"/>
          <w:szCs w:val="24"/>
          <w:highlight w:val="none"/>
          <w:lang w:val="en-US" w:eastAsia="zh-CN" w:bidi="ar-SA"/>
        </w:rPr>
        <w:t>分布</w:t>
      </w:r>
      <w:r>
        <w:rPr>
          <w:rFonts w:hint="eastAsia" w:ascii="Times New Roman" w:hAnsi="Times New Roman" w:eastAsia="宋体" w:cs="Times New Roman"/>
          <w:bCs w:val="0"/>
          <w:color w:val="auto"/>
          <w:kern w:val="2"/>
          <w:sz w:val="24"/>
          <w:szCs w:val="24"/>
          <w:highlight w:val="none"/>
          <w:lang w:val="en-US" w:eastAsia="zh-CN" w:bidi="ar-SA"/>
        </w:rPr>
        <w:t>。项目施工期短，材料运输量小，途经居民路段时，减少鸣笛、车辆减速慢行，同时材料运输仅在昼间进行，禁止夜间进行运输，因此本项目交通噪声对运输道路两侧声环境影响较小。</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80" w:name="_bookmark73"/>
      <w:bookmarkEnd w:id="180"/>
      <w:bookmarkStart w:id="181" w:name="4.1.4固体废物影响分析"/>
      <w:bookmarkEnd w:id="181"/>
      <w:bookmarkStart w:id="182" w:name="_Toc3195"/>
      <w:r>
        <w:rPr>
          <w:rFonts w:hint="eastAsia" w:ascii="Times New Roman" w:hAnsi="Times New Roman" w:eastAsia="宋体"/>
          <w:b/>
          <w:bCs/>
          <w:color w:val="auto"/>
          <w:sz w:val="30"/>
          <w:highlight w:val="none"/>
          <w:lang w:val="en-US" w:eastAsia="zh-CN"/>
        </w:rPr>
        <w:t>5.1.4 固体废物影响分析</w:t>
      </w:r>
      <w:bookmarkEnd w:id="182"/>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施工期间产生的固体废物</w:t>
      </w:r>
      <w:r>
        <w:rPr>
          <w:rFonts w:hint="eastAsia" w:eastAsia="宋体" w:cs="Times New Roman"/>
          <w:bCs w:val="0"/>
          <w:color w:val="auto"/>
          <w:kern w:val="2"/>
          <w:sz w:val="24"/>
          <w:szCs w:val="24"/>
          <w:highlight w:val="none"/>
          <w:lang w:val="en-US" w:eastAsia="zh-CN" w:bidi="ar-SA"/>
        </w:rPr>
        <w:t>主要为</w:t>
      </w:r>
      <w:r>
        <w:rPr>
          <w:rFonts w:hint="eastAsia" w:ascii="Times New Roman" w:hAnsi="Times New Roman" w:eastAsia="宋体" w:cs="Times New Roman"/>
          <w:bCs w:val="0"/>
          <w:color w:val="auto"/>
          <w:kern w:val="2"/>
          <w:sz w:val="24"/>
          <w:szCs w:val="24"/>
          <w:highlight w:val="none"/>
          <w:lang w:val="en-US" w:eastAsia="zh-CN" w:bidi="ar-SA"/>
        </w:rPr>
        <w:t>施工人员产生的生活垃圾</w:t>
      </w:r>
      <w:r>
        <w:rPr>
          <w:rFonts w:hint="eastAsia" w:eastAsia="宋体" w:cs="Times New Roman"/>
          <w:bCs w:val="0"/>
          <w:color w:val="auto"/>
          <w:kern w:val="2"/>
          <w:sz w:val="24"/>
          <w:szCs w:val="24"/>
          <w:highlight w:val="none"/>
          <w:lang w:val="en-US" w:eastAsia="zh-CN" w:bidi="ar-SA"/>
        </w:rPr>
        <w:t>和沉淀池建设产生的建筑垃圾</w:t>
      </w:r>
      <w:r>
        <w:rPr>
          <w:rFonts w:hint="eastAsia" w:ascii="Times New Roman" w:hAnsi="Times New Roman" w:eastAsia="宋体" w:cs="Times New Roman"/>
          <w:bCs w:val="0"/>
          <w:color w:val="auto"/>
          <w:kern w:val="2"/>
          <w:sz w:val="24"/>
          <w:szCs w:val="24"/>
          <w:highlight w:val="none"/>
          <w:lang w:val="en-US" w:eastAsia="zh-CN" w:bidi="ar-SA"/>
        </w:rPr>
        <w:t>。由工程分析可知，施工期固废产生及排放情况见表5.1-3。</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表5.1-3</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施工期固废产生及排放情况</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9"/>
        <w:gridCol w:w="1161"/>
        <w:gridCol w:w="2177"/>
        <w:gridCol w:w="1161"/>
        <w:gridCol w:w="275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exact"/>
        </w:trPr>
        <w:tc>
          <w:tcPr>
            <w:tcW w:w="126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固废来源</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产生量</w:t>
            </w:r>
          </w:p>
        </w:tc>
        <w:tc>
          <w:tcPr>
            <w:tcW w:w="217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主要成分</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属性</w:t>
            </w:r>
          </w:p>
        </w:tc>
        <w:tc>
          <w:tcPr>
            <w:tcW w:w="275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处置方法</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exact"/>
        </w:trPr>
        <w:tc>
          <w:tcPr>
            <w:tcW w:w="126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生活垃圾</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0.9t</w:t>
            </w:r>
          </w:p>
        </w:tc>
        <w:tc>
          <w:tcPr>
            <w:tcW w:w="217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纸张、食物残渣等</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default"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生活垃圾</w:t>
            </w:r>
          </w:p>
        </w:tc>
        <w:tc>
          <w:tcPr>
            <w:tcW w:w="275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按环卫部门要求处置</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exact"/>
        </w:trPr>
        <w:tc>
          <w:tcPr>
            <w:tcW w:w="126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default"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建筑垃圾</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0.5</w:t>
            </w:r>
            <w:r>
              <w:rPr>
                <w:rFonts w:hint="eastAsia" w:ascii="Times New Roman" w:hAnsi="Times New Roman" w:eastAsia="宋体" w:cs="Times New Roman"/>
                <w:bCs w:val="0"/>
                <w:color w:val="auto"/>
                <w:kern w:val="2"/>
                <w:sz w:val="21"/>
                <w:szCs w:val="21"/>
                <w:highlight w:val="none"/>
                <w:lang w:val="en-US" w:eastAsia="zh-CN" w:bidi="ar-SA"/>
              </w:rPr>
              <w:t>t</w:t>
            </w:r>
          </w:p>
        </w:tc>
        <w:tc>
          <w:tcPr>
            <w:tcW w:w="217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default"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废石、弃土、废混凝土</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一般固废</w:t>
            </w:r>
          </w:p>
        </w:tc>
        <w:tc>
          <w:tcPr>
            <w:tcW w:w="275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回填于西侧采空区</w:t>
            </w: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上述固体废弃物如随意堆放，会造成水土流失、污染环境、破坏景观，对环境造成二次污染。为避免二次污染，施工期生活垃圾集中收集，按当地环卫部门要求处置。</w:t>
      </w:r>
      <w:r>
        <w:rPr>
          <w:rFonts w:hint="eastAsia" w:eastAsia="宋体" w:cs="Times New Roman"/>
          <w:bCs w:val="0"/>
          <w:color w:val="auto"/>
          <w:kern w:val="2"/>
          <w:sz w:val="24"/>
          <w:szCs w:val="24"/>
          <w:highlight w:val="none"/>
          <w:lang w:val="en-US" w:eastAsia="zh-CN" w:bidi="ar-SA"/>
        </w:rPr>
        <w:t>建筑垃圾回填于西侧采空区</w:t>
      </w:r>
      <w:r>
        <w:rPr>
          <w:rFonts w:hint="eastAsia" w:ascii="Times New Roman" w:hAnsi="Times New Roman" w:eastAsia="宋体" w:cs="Times New Roman"/>
          <w:bCs w:val="0"/>
          <w:color w:val="auto"/>
          <w:kern w:val="2"/>
          <w:sz w:val="24"/>
          <w:szCs w:val="24"/>
          <w:highlight w:val="none"/>
          <w:lang w:val="en-US" w:eastAsia="zh-CN" w:bidi="ar-SA"/>
        </w:rPr>
        <w:t>等。采取上述措施后，固废均能得到综合利用，对周围环境影响较小。</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83" w:name="_bookmark74"/>
      <w:bookmarkEnd w:id="183"/>
      <w:bookmarkStart w:id="184" w:name="4.1.5生态环境影响分析"/>
      <w:bookmarkEnd w:id="184"/>
      <w:bookmarkStart w:id="185" w:name="_Toc19921"/>
      <w:r>
        <w:rPr>
          <w:rFonts w:hint="eastAsia" w:ascii="Times New Roman" w:hAnsi="Times New Roman" w:eastAsia="宋体"/>
          <w:b/>
          <w:bCs/>
          <w:color w:val="auto"/>
          <w:sz w:val="30"/>
          <w:highlight w:val="none"/>
          <w:lang w:val="en-US" w:eastAsia="zh-CN"/>
        </w:rPr>
        <w:t>5.1.5 生态环境影响分析</w:t>
      </w:r>
      <w:bookmarkEnd w:id="185"/>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由于工程施工过程中对地表结构及下垫面植被完全遭到破坏。因此本工程施工期，施工活动对施工场地占地及附近生态环境的不利影响在土地利用、水土流失、植被覆盖、土地生产力等多个方面均有所体现。</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对所在地的生态环境的影响主要表现在对植被、景观和生态功能等的影响上。为定性说明项目实施产生的生态环境影响情况，按《环境影响评价技术导则-生态影响》（HJ19-2011）的要求，将影响因子、影响范围、影响程度制成表格，如表5.1-4 所示。</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表5.1-4</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生态环境影响简表</w:t>
      </w:r>
    </w:p>
    <w:tbl>
      <w:tblPr>
        <w:tblStyle w:val="35"/>
        <w:tblW w:w="8362" w:type="dxa"/>
        <w:tblInd w:w="18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2"/>
        <w:gridCol w:w="1772"/>
        <w:gridCol w:w="715"/>
        <w:gridCol w:w="683"/>
        <w:gridCol w:w="587"/>
        <w:gridCol w:w="589"/>
        <w:gridCol w:w="585"/>
        <w:gridCol w:w="587"/>
        <w:gridCol w:w="587"/>
        <w:gridCol w:w="575"/>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exact"/>
        </w:trPr>
        <w:tc>
          <w:tcPr>
            <w:tcW w:w="1682"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影响因素</w:t>
            </w:r>
          </w:p>
        </w:tc>
        <w:tc>
          <w:tcPr>
            <w:tcW w:w="1772"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被影响对象</w:t>
            </w:r>
          </w:p>
        </w:tc>
        <w:tc>
          <w:tcPr>
            <w:tcW w:w="1398"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可逆性</w:t>
            </w:r>
          </w:p>
        </w:tc>
        <w:tc>
          <w:tcPr>
            <w:tcW w:w="1176"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影响期限</w:t>
            </w:r>
          </w:p>
        </w:tc>
        <w:tc>
          <w:tcPr>
            <w:tcW w:w="1172"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影响程度</w:t>
            </w:r>
          </w:p>
        </w:tc>
        <w:tc>
          <w:tcPr>
            <w:tcW w:w="1162"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影响范围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682"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1772"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可逆</w:t>
            </w: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不可</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逆</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近期</w:t>
            </w: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长期</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明显</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潜在</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局部</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exact"/>
        </w:trPr>
        <w:tc>
          <w:tcPr>
            <w:tcW w:w="168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土地占用</w:t>
            </w:r>
          </w:p>
        </w:tc>
        <w:tc>
          <w:tcPr>
            <w:tcW w:w="177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植被覆盖率下降、 生态景观结构改 变、破碎度增加</w:t>
            </w: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68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成品</w:t>
            </w:r>
            <w:r>
              <w:rPr>
                <w:rFonts w:hint="eastAsia" w:ascii="Times New Roman" w:hAnsi="Times New Roman" w:eastAsia="宋体" w:cs="Times New Roman"/>
                <w:bCs w:val="0"/>
                <w:color w:val="auto"/>
                <w:kern w:val="2"/>
                <w:sz w:val="21"/>
                <w:szCs w:val="21"/>
                <w:highlight w:val="none"/>
                <w:lang w:val="en-US" w:eastAsia="zh-CN" w:bidi="ar-SA"/>
              </w:rPr>
              <w:t>堆放</w:t>
            </w:r>
          </w:p>
        </w:tc>
        <w:tc>
          <w:tcPr>
            <w:tcW w:w="177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水土流失隐患增</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加，景观美感丧失</w:t>
            </w: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exact"/>
        </w:trPr>
        <w:tc>
          <w:tcPr>
            <w:tcW w:w="168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机械噪声车辆运</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输人群活动</w:t>
            </w:r>
          </w:p>
        </w:tc>
        <w:tc>
          <w:tcPr>
            <w:tcW w:w="177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动植物</w:t>
            </w: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由上表可见，该项目的实施虽然对生态环境的影响大部分都是长期性和明显</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的，但全部是局部影响。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86" w:name="4.1.5.1工程占地及土地利用"/>
      <w:bookmarkEnd w:id="186"/>
      <w:r>
        <w:rPr>
          <w:rFonts w:hint="eastAsia" w:ascii="Times New Roman" w:hAnsi="Times New Roman" w:eastAsia="宋体" w:cs="Times New Roman"/>
          <w:b/>
          <w:bCs/>
          <w:color w:val="auto"/>
          <w:kern w:val="2"/>
          <w:sz w:val="24"/>
          <w:szCs w:val="24"/>
          <w:highlight w:val="none"/>
          <w:lang w:val="en-US" w:eastAsia="zh-CN" w:bidi="ar-SA"/>
        </w:rPr>
        <w:t>5.1.5.1 水土流失</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主要是由于基础设施的建设，挖方和填方，扰动原地表植被，使大面积土壤暴露在外，形成的疏松裸露地表成为当地局部风力侵蚀源地后，将加速建设区及周边地区的土壤风蚀发生与发展，施工扰动区如果不进行治理，这些区域地表植被的破坏后可引起土地退化和沙化，土壤肥力下降，永久占地使土地失去原有的生物生产功能和生态功能，主要造成的水土流失及其连带影响表现在以下几个方面。</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施工材料、开挖土料的堆放，占压植被扰动原地表，使地表裸露面进一步扩大，侵蚀面积增大，在无任何防护下，易产生以风蚀为主的风水交错侵蚀；</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运输道路部分路段的建设，由于平整、堆垫等活动，扰动了原地表植被，形成长距离疏松的土质裸露带；</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施工人员及车辆的碾压，破坏植被。裸露带产生土壤风蚀、进入雨季发生水蚀。产生水土流失的区域，土壤肥力流失，植物生存条件丧生，使地表的植被生物量损失，农作物被破坏或减产。</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87" w:name="4.1.5.3对土壤及植物的影响"/>
      <w:bookmarkEnd w:id="187"/>
      <w:r>
        <w:rPr>
          <w:rFonts w:hint="eastAsia" w:ascii="Times New Roman" w:hAnsi="Times New Roman" w:eastAsia="宋体" w:cs="Times New Roman"/>
          <w:b/>
          <w:bCs/>
          <w:color w:val="auto"/>
          <w:kern w:val="2"/>
          <w:sz w:val="24"/>
          <w:szCs w:val="24"/>
          <w:highlight w:val="none"/>
          <w:lang w:val="en-US" w:eastAsia="zh-CN" w:bidi="ar-SA"/>
        </w:rPr>
        <w:t>5.1.5.2 对土壤及植物的影响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（1）对土壤影响：施工期产生的生活垃圾、废</w:t>
      </w:r>
      <w:r>
        <w:rPr>
          <w:rFonts w:hint="eastAsia" w:eastAsia="宋体" w:cs="Times New Roman"/>
          <w:bCs w:val="0"/>
          <w:color w:val="auto"/>
          <w:kern w:val="2"/>
          <w:sz w:val="24"/>
          <w:szCs w:val="24"/>
          <w:highlight w:val="none"/>
          <w:lang w:val="en-US" w:eastAsia="zh-CN" w:bidi="ar-SA"/>
        </w:rPr>
        <w:t>土石方</w:t>
      </w:r>
      <w:r>
        <w:rPr>
          <w:rFonts w:hint="eastAsia" w:ascii="Times New Roman" w:hAnsi="Times New Roman" w:eastAsia="宋体" w:cs="Times New Roman"/>
          <w:bCs w:val="0"/>
          <w:color w:val="auto"/>
          <w:kern w:val="2"/>
          <w:sz w:val="24"/>
          <w:szCs w:val="24"/>
          <w:highlight w:val="none"/>
          <w:lang w:val="en-US" w:eastAsia="zh-CN" w:bidi="ar-SA"/>
        </w:rPr>
        <w:t>等堆放，会压埋植被，临时造成原地貌功能丧失；同时弃土、废石等运输存放若处理不当，碎石散落或发生滑坡事故均可能会使周边区域砾石化，从而影响植物生长；如果缺乏规范和约束，过往车辆和工作人员会对项目区内的植被随意碾压和践踏，造成土壤板结、物种多样性降低、植被盖度降低。</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2）大气污染对植被影响：项目施工期产生的粉尘、扬尘等大气污染物会对矿区周围及线性工程两侧空气环境产生影响。悬浮微粒自然沉降降落到植物叶面上，堵塞叶面气孔，使光合作用强度下降，吹至周边土壤中，常年累积会改变土壤理化性质，从而对植被的生长产生影响；同时，覆尘叶片吸收红外光辐射的能力增强，导致叶温增高，蒸腾速度加快，引起失水，使植物生长发育不良。大气污染物还可通过自然沉降和降水淋溶等途径进入土壤环境，常年累积可能从物理、化学等方面影响周围土壤的孔隙度、团粒结构、酸碱度、土壤肥力及微量元素含量等，从而间接影响植被生长。</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于项目区及线性工程破坏面积较小，经过咨询，项目占地范围内无珍稀濒危物种分布，因此对整个项目区对所在区域植被的群落组成、覆盖度、生物资源量、频率、密度以及连续性等影响很小，对区域生态环境影响不大。施工结束后，建设方应根据当地的气候条件、土壤类型和水资源状况等各方面的情况，按照土地复垦及环评要求制定适宜的植被修复方案。采取以上措施后，项目施工对周边的土壤及植被影响可接受。</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bookmarkStart w:id="188" w:name="4.1.5.4对野生动物资源的影响"/>
      <w:bookmarkEnd w:id="188"/>
      <w:r>
        <w:rPr>
          <w:rFonts w:hint="eastAsia" w:ascii="Times New Roman" w:hAnsi="Times New Roman" w:eastAsia="宋体" w:cs="Times New Roman"/>
          <w:b/>
          <w:bCs/>
          <w:color w:val="auto"/>
          <w:kern w:val="2"/>
          <w:sz w:val="24"/>
          <w:szCs w:val="24"/>
          <w:highlight w:val="none"/>
          <w:lang w:val="en-US" w:eastAsia="zh-CN" w:bidi="ar-SA"/>
        </w:rPr>
        <w:t>5.1.5.3 对野生动物资源的影响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区域由于采矿活动，项目现有道路已经基本形成，受人为活动及采矿活动影响，矿区内没有固定或必经的动物迁徙通道，工程建设和各项设施的布局，不存在阻隔这些野生动物的迁徙通道。通过现场调查和咨询，占地范围内动物资源受人类活动影响较馈乏，主要是小型啮齿类、爬行类动物及鸟类，没有大型野生动物和国际安全保护动物，也没有鸟类等野生动物保护区及珍稀物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在施工过程中，清除植被，会对现有动物的栖息生境产生一定程度的扰动，如可能限制某些动物进入它们习惯的季节性觅食区，使之不能更大范围的觅食。此外，项目区施工机械、施工人员活动及运输车辆等对现有动物的栖息生境产生扰动，对各类动物产生不同程度的影响。对项目区动物的栖息、繁衍将产生局部影响，可能造成动物的脱离或搬迁。使它们移居到周围干扰较小的地区，并在新的环境中适应和生存。</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此外，因施工区范围较小，这些鸟类不会因工程建设与运行而有灭绝的危险， 故本项目对这些保护鸟类的影响是有限、可控的。同时随着厂区种草等人工生态系统的建设，会给鸟类栖息与生存提供有利条件。</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施工过程通过加强施工人员管理和宣传教育，杜绝滥捕乱猎行为，减少对野 生动物影响。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
          <w:bCs/>
          <w:color w:val="auto"/>
          <w:kern w:val="2"/>
          <w:sz w:val="24"/>
          <w:szCs w:val="24"/>
          <w:highlight w:val="none"/>
          <w:lang w:val="en-US" w:eastAsia="zh-CN" w:bidi="ar-SA"/>
        </w:rPr>
      </w:pPr>
      <w:bookmarkStart w:id="189" w:name="4.1.5.5对生态功能的影响"/>
      <w:bookmarkEnd w:id="189"/>
      <w:r>
        <w:rPr>
          <w:rFonts w:hint="eastAsia" w:ascii="Times New Roman" w:hAnsi="Times New Roman" w:eastAsia="宋体" w:cs="Times New Roman"/>
          <w:b/>
          <w:bCs/>
          <w:color w:val="auto"/>
          <w:kern w:val="2"/>
          <w:sz w:val="24"/>
          <w:szCs w:val="24"/>
          <w:highlight w:val="none"/>
          <w:lang w:val="en-US" w:eastAsia="zh-CN" w:bidi="ar-SA"/>
        </w:rPr>
        <w:t>5.1.5.4 对生态功能的影响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（1）对生态系统稳定性的影响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建设项目施工对局部自然生态环境造成一定的破坏，但对整个评价区域自然体系的稳定性不会造成明显影响，仅使局部区域植被铲除、动物迁徙、水土流失 侵蚀度增加，使局部生物量减少，局部自然生态环境遭到一定的破坏。但由于影 响面积小，对评价区域内自然生态体系的稳定性和对外界环境干扰的阻抗和恢复 功能影响不大，对整个评价范围内区域自然体系恢复稳定性不会产生明显的影 响，是评价区域内自然体系可以承受的；同时，工程建设和施工使区域生态环境 局部动植物物种的移动和抵御内外界干扰受到了一定的影响，但对植被分布的空 间影响不大。因此，项目施工区对区域自然体系中生态环境自身的异质化程度影 响不大，对评价区域自然体系的稳定性造成影响较小。</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    （2）对生态功能的影响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本项目属于</w:t>
      </w:r>
      <w:r>
        <w:rPr>
          <w:rFonts w:hint="eastAsia" w:eastAsia="宋体" w:cs="Times New Roman"/>
          <w:bCs w:val="0"/>
          <w:color w:val="auto"/>
          <w:kern w:val="2"/>
          <w:sz w:val="24"/>
          <w:szCs w:val="24"/>
          <w:highlight w:val="none"/>
          <w:lang w:val="en-US" w:eastAsia="zh-CN" w:bidi="ar-SA"/>
        </w:rPr>
        <w:t>苏尼特右旗</w:t>
      </w:r>
      <w:r>
        <w:rPr>
          <w:rFonts w:hint="eastAsia" w:ascii="Times New Roman" w:hAnsi="Times New Roman" w:eastAsia="宋体" w:cs="Times New Roman"/>
          <w:bCs w:val="0"/>
          <w:color w:val="auto"/>
          <w:kern w:val="2"/>
          <w:sz w:val="24"/>
          <w:szCs w:val="24"/>
          <w:highlight w:val="none"/>
          <w:lang w:val="en-US" w:eastAsia="zh-CN" w:bidi="ar-SA"/>
        </w:rPr>
        <w:t>地处阴山北麓农牧交错防风固沙生态功能区，当地植被草群高度一般在 4～35cm，覆盖度在 10～30%左右，项目占地类型为草地， 由于施工占时较短，占地较小，临时占地破坏的植被一段时间后影响的植被可自然恢复，永久占地破坏的植被可通过人工植物措施恢复，因此项目的施工对生态系统的切割和廊道作用不明显，对主导服务功能及景观影响较小。同时施工结束后对项目区周边进行水保绿化，也可减轻对生态环境的影响，维持原有生态功能。</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color w:val="auto"/>
          <w:highlight w:val="none"/>
        </w:rPr>
      </w:pPr>
      <w:bookmarkStart w:id="190" w:name="4.1.5.6现有工程遗留生态问题影响分析"/>
      <w:bookmarkEnd w:id="190"/>
      <w:bookmarkStart w:id="191" w:name="_Toc9419"/>
      <w:r>
        <w:rPr>
          <w:rFonts w:hint="eastAsia" w:ascii="Times New Roman" w:hAnsi="Times New Roman" w:eastAsia="宋体"/>
          <w:b/>
          <w:bCs/>
          <w:color w:val="auto"/>
          <w:highlight w:val="none"/>
        </w:rPr>
        <w:t>5.</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 xml:space="preserve"> 大气环境影响分析</w:t>
      </w:r>
      <w:bookmarkEnd w:id="191"/>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color w:val="auto"/>
          <w:sz w:val="30"/>
          <w:highlight w:val="none"/>
          <w:lang w:eastAsia="zh-CN"/>
        </w:rPr>
      </w:pPr>
      <w:bookmarkStart w:id="192" w:name="_Toc5403"/>
      <w:r>
        <w:rPr>
          <w:rFonts w:hint="eastAsia" w:ascii="Times New Roman" w:hAnsi="Times New Roman" w:eastAsia="宋体"/>
          <w:b/>
          <w:bCs/>
          <w:color w:val="auto"/>
          <w:sz w:val="30"/>
          <w:highlight w:val="none"/>
        </w:rPr>
        <w:t>5.</w:t>
      </w:r>
      <w:r>
        <w:rPr>
          <w:rFonts w:hint="eastAsia" w:eastAsia="宋体"/>
          <w:b/>
          <w:bCs/>
          <w:color w:val="auto"/>
          <w:sz w:val="30"/>
          <w:highlight w:val="none"/>
          <w:lang w:val="en-US" w:eastAsia="zh-CN"/>
        </w:rPr>
        <w:t>2</w:t>
      </w:r>
      <w:r>
        <w:rPr>
          <w:rFonts w:hint="eastAsia" w:ascii="Times New Roman" w:hAnsi="Times New Roman" w:eastAsia="宋体"/>
          <w:b/>
          <w:bCs/>
          <w:color w:val="auto"/>
          <w:sz w:val="30"/>
          <w:highlight w:val="none"/>
        </w:rPr>
        <w:t xml:space="preserve">.1 </w:t>
      </w:r>
      <w:r>
        <w:rPr>
          <w:rFonts w:hint="eastAsia" w:ascii="Times New Roman" w:hAnsi="Times New Roman" w:eastAsia="宋体"/>
          <w:b/>
          <w:bCs/>
          <w:color w:val="auto"/>
          <w:sz w:val="30"/>
          <w:highlight w:val="none"/>
          <w:lang w:val="en-US" w:eastAsia="zh-CN"/>
        </w:rPr>
        <w:t>气象</w:t>
      </w:r>
      <w:r>
        <w:rPr>
          <w:rFonts w:hint="eastAsia" w:eastAsia="宋体"/>
          <w:b/>
          <w:bCs/>
          <w:color w:val="auto"/>
          <w:sz w:val="30"/>
          <w:highlight w:val="none"/>
          <w:lang w:val="en-US" w:eastAsia="zh-CN"/>
        </w:rPr>
        <w:t>特征</w:t>
      </w:r>
      <w:bookmarkEnd w:id="192"/>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ascii="Times New Roman" w:hAnsi="Times New Roman" w:eastAsia="宋体"/>
          <w:color w:val="auto"/>
          <w:szCs w:val="24"/>
          <w:highlight w:val="none"/>
        </w:rPr>
      </w:pPr>
      <w:r>
        <w:rPr>
          <w:rFonts w:hint="eastAsia" w:ascii="Times New Roman" w:hAnsi="Times New Roman" w:eastAsia="宋体"/>
          <w:color w:val="auto"/>
          <w:szCs w:val="24"/>
          <w:highlight w:val="none"/>
        </w:rPr>
        <w:t>1、气象资料来源</w:t>
      </w:r>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项目区位于锡林郭勒盟苏尼特右旗政府驻地赛汉塔拉镇南东约</w:t>
      </w:r>
      <w:r>
        <w:rPr>
          <w:rFonts w:hint="eastAsia" w:eastAsia="宋体"/>
          <w:color w:val="auto"/>
          <w:szCs w:val="24"/>
          <w:highlight w:val="none"/>
          <w:lang w:val="en-US" w:eastAsia="zh-CN"/>
        </w:rPr>
        <w:t>50</w:t>
      </w:r>
      <w:r>
        <w:rPr>
          <w:rFonts w:hint="eastAsia" w:ascii="Times New Roman" w:hAnsi="Times New Roman" w:eastAsia="宋体"/>
          <w:color w:val="auto"/>
          <w:szCs w:val="24"/>
          <w:highlight w:val="none"/>
        </w:rPr>
        <w:t>km处，本次评价收集了距本项目西北约</w:t>
      </w:r>
      <w:r>
        <w:rPr>
          <w:rFonts w:hint="eastAsia" w:eastAsia="宋体"/>
          <w:color w:val="auto"/>
          <w:szCs w:val="24"/>
          <w:highlight w:val="none"/>
          <w:lang w:val="en-US" w:eastAsia="zh-CN"/>
        </w:rPr>
        <w:t>52</w:t>
      </w:r>
      <w:r>
        <w:rPr>
          <w:rFonts w:hint="eastAsia" w:ascii="Times New Roman" w:hAnsi="Times New Roman" w:eastAsia="宋体"/>
          <w:color w:val="auto"/>
          <w:szCs w:val="24"/>
          <w:highlight w:val="none"/>
        </w:rPr>
        <w:t>km处的赛汉塔拉气象站1998年～2019年的常规气象资料进行分析评价。</w:t>
      </w:r>
    </w:p>
    <w:p>
      <w:pPr>
        <w:ind w:firstLine="480"/>
        <w:rPr>
          <w:rFonts w:eastAsia="宋体"/>
          <w:sz w:val="24"/>
        </w:rPr>
      </w:pPr>
      <w:r>
        <w:rPr>
          <w:rFonts w:hint="eastAsia" w:eastAsia="宋体"/>
          <w:sz w:val="24"/>
          <w:lang w:val="en-US" w:eastAsia="zh-CN"/>
        </w:rPr>
        <w:t>2、</w:t>
      </w:r>
      <w:r>
        <w:rPr>
          <w:rFonts w:hint="eastAsia" w:eastAsia="宋体"/>
          <w:sz w:val="24"/>
        </w:rPr>
        <w:t>风速</w:t>
      </w:r>
    </w:p>
    <w:p>
      <w:pPr>
        <w:ind w:firstLine="480"/>
      </w:pPr>
      <w:r>
        <w:rPr>
          <w:rFonts w:hint="eastAsia" w:eastAsia="宋体"/>
          <w:sz w:val="24"/>
        </w:rPr>
        <w:t>1998～2019年的地面月、年平均风速值表的统计结果见图</w:t>
      </w:r>
      <w:r>
        <w:rPr>
          <w:rFonts w:hint="eastAsia" w:eastAsia="宋体"/>
          <w:sz w:val="24"/>
          <w:lang w:val="en-US" w:eastAsia="zh-CN"/>
        </w:rPr>
        <w:t>5.2</w:t>
      </w:r>
      <w:r>
        <w:rPr>
          <w:rFonts w:hint="eastAsia" w:eastAsia="宋体"/>
          <w:sz w:val="24"/>
        </w:rPr>
        <w:t>-1。全年地面主导风向为西南风，春秋两季风速最大，年平均风速4.1m/s。</w:t>
      </w:r>
    </w:p>
    <w:p>
      <w:pPr>
        <w:pStyle w:val="52"/>
      </w:pPr>
      <w:r>
        <w:drawing>
          <wp:inline distT="0" distB="0" distL="0" distR="0">
            <wp:extent cx="5273675" cy="2700655"/>
            <wp:effectExtent l="0" t="0" r="317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3675" cy="2700655"/>
                    </a:xfrm>
                    <a:prstGeom prst="rect">
                      <a:avLst/>
                    </a:prstGeom>
                    <a:noFill/>
                    <a:ln>
                      <a:noFill/>
                    </a:ln>
                  </pic:spPr>
                </pic:pic>
              </a:graphicData>
            </a:graphic>
          </wp:inline>
        </w:drawing>
      </w:r>
    </w:p>
    <w:p>
      <w:pPr>
        <w:pStyle w:val="51"/>
        <w:spacing w:before="163" w:after="163"/>
      </w:pPr>
      <w:r>
        <w:rPr>
          <w:rFonts w:hint="eastAsia"/>
        </w:rPr>
        <w:t>图</w:t>
      </w:r>
      <w:r>
        <w:rPr>
          <w:rFonts w:hint="eastAsia"/>
          <w:lang w:val="en-US" w:eastAsia="zh-CN"/>
        </w:rPr>
        <w:t>5.2</w:t>
      </w:r>
      <w:r>
        <w:rPr>
          <w:rFonts w:hint="eastAsia"/>
        </w:rPr>
        <w:t>-1</w:t>
      </w:r>
      <w:r>
        <w:t xml:space="preserve">   赛汉塔拉镇近20年逐月平均风速变化曲线图</w:t>
      </w:r>
    </w:p>
    <w:p>
      <w:pPr>
        <w:ind w:firstLine="480"/>
        <w:rPr>
          <w:rFonts w:eastAsia="宋体"/>
          <w:sz w:val="24"/>
        </w:rPr>
      </w:pPr>
      <w:r>
        <w:rPr>
          <w:rFonts w:hint="eastAsia" w:eastAsia="宋体"/>
          <w:sz w:val="24"/>
          <w:lang w:val="en-US" w:eastAsia="zh-CN"/>
        </w:rPr>
        <w:t>3</w:t>
      </w:r>
      <w:r>
        <w:rPr>
          <w:rFonts w:hint="eastAsia" w:eastAsia="宋体"/>
          <w:sz w:val="24"/>
        </w:rPr>
        <w:t>、风向</w:t>
      </w:r>
    </w:p>
    <w:p>
      <w:pPr>
        <w:ind w:firstLine="480"/>
        <w:rPr>
          <w:rFonts w:eastAsia="宋体"/>
          <w:sz w:val="24"/>
        </w:rPr>
      </w:pPr>
      <w:r>
        <w:rPr>
          <w:rFonts w:hint="eastAsia" w:eastAsia="宋体"/>
          <w:sz w:val="24"/>
        </w:rPr>
        <w:t>该地区全年以静风频率为最高 （其年值达21.9%），年主导风向为SSW风，出现频率为3.8%。春季主导风向为SW风，出现频率为15.0%；夏季主导风向仍为SE风，出现频率为20.8%；秋季以静风频率为最高（其值达19.8%），主导风向仍为SE风，出现频率为13.8%；冬季静风出现的频率更高，达30.2%，主导风向为WNW风，出现频率为7.8%。</w:t>
      </w:r>
    </w:p>
    <w:p>
      <w:pPr>
        <w:ind w:firstLine="480"/>
      </w:pPr>
      <w:r>
        <w:rPr>
          <w:rFonts w:hint="eastAsia" w:eastAsia="宋体"/>
          <w:sz w:val="24"/>
        </w:rPr>
        <w:t>赛汉塔拉镇1996年～2017年的地面风向资料统计见表</w:t>
      </w:r>
      <w:r>
        <w:rPr>
          <w:rFonts w:hint="eastAsia" w:eastAsia="宋体"/>
          <w:sz w:val="24"/>
          <w:lang w:val="en-US" w:eastAsia="zh-CN"/>
        </w:rPr>
        <w:t>5.2</w:t>
      </w:r>
      <w:r>
        <w:rPr>
          <w:rFonts w:hint="eastAsia" w:eastAsia="宋体"/>
          <w:sz w:val="24"/>
        </w:rPr>
        <w:t>-1，全年及四季风向玫瑰图见图</w:t>
      </w:r>
      <w:r>
        <w:rPr>
          <w:rFonts w:hint="eastAsia" w:eastAsia="宋体"/>
          <w:sz w:val="24"/>
          <w:lang w:val="en-US" w:eastAsia="zh-CN"/>
        </w:rPr>
        <w:t>5.2</w:t>
      </w:r>
      <w:r>
        <w:rPr>
          <w:rFonts w:hint="eastAsia" w:eastAsia="宋体"/>
          <w:sz w:val="24"/>
        </w:rPr>
        <w:t>-2。</w:t>
      </w:r>
    </w:p>
    <w:p>
      <w:pPr>
        <w:pStyle w:val="52"/>
        <w:rPr>
          <w:b/>
          <w:szCs w:val="24"/>
        </w:rPr>
      </w:pPr>
      <w:r>
        <w:drawing>
          <wp:inline distT="0" distB="0" distL="0" distR="0">
            <wp:extent cx="1105535" cy="1297305"/>
            <wp:effectExtent l="0" t="0" r="18415" b="171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105535" cy="1297305"/>
                    </a:xfrm>
                    <a:prstGeom prst="rect">
                      <a:avLst/>
                    </a:prstGeom>
                    <a:noFill/>
                    <a:ln>
                      <a:noFill/>
                    </a:ln>
                  </pic:spPr>
                </pic:pic>
              </a:graphicData>
            </a:graphic>
          </wp:inline>
        </w:drawing>
      </w:r>
      <w:r>
        <w:rPr>
          <w:szCs w:val="24"/>
        </w:rPr>
        <w:drawing>
          <wp:inline distT="0" distB="0" distL="0" distR="0">
            <wp:extent cx="1020445" cy="1254760"/>
            <wp:effectExtent l="0" t="0" r="8255"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0445" cy="1254760"/>
                    </a:xfrm>
                    <a:prstGeom prst="rect">
                      <a:avLst/>
                    </a:prstGeom>
                    <a:noFill/>
                    <a:ln>
                      <a:noFill/>
                    </a:ln>
                  </pic:spPr>
                </pic:pic>
              </a:graphicData>
            </a:graphic>
          </wp:inline>
        </w:drawing>
      </w:r>
      <w:r>
        <w:drawing>
          <wp:inline distT="0" distB="0" distL="0" distR="0">
            <wp:extent cx="1073785" cy="1254760"/>
            <wp:effectExtent l="0" t="0" r="1206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73785" cy="1254760"/>
                    </a:xfrm>
                    <a:prstGeom prst="rect">
                      <a:avLst/>
                    </a:prstGeom>
                    <a:noFill/>
                    <a:ln>
                      <a:noFill/>
                    </a:ln>
                  </pic:spPr>
                </pic:pic>
              </a:graphicData>
            </a:graphic>
          </wp:inline>
        </w:drawing>
      </w:r>
      <w:r>
        <w:drawing>
          <wp:inline distT="0" distB="0" distL="0" distR="0">
            <wp:extent cx="1116330" cy="1254760"/>
            <wp:effectExtent l="0" t="0" r="762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116330" cy="1254760"/>
                    </a:xfrm>
                    <a:prstGeom prst="rect">
                      <a:avLst/>
                    </a:prstGeom>
                    <a:noFill/>
                    <a:ln>
                      <a:noFill/>
                    </a:ln>
                  </pic:spPr>
                </pic:pic>
              </a:graphicData>
            </a:graphic>
          </wp:inline>
        </w:drawing>
      </w:r>
      <w:r>
        <w:drawing>
          <wp:inline distT="0" distB="0" distL="0" distR="0">
            <wp:extent cx="1297305" cy="1510030"/>
            <wp:effectExtent l="0" t="0" r="17145" b="139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t="-2942"/>
                    <a:stretch>
                      <a:fillRect/>
                    </a:stretch>
                  </pic:blipFill>
                  <pic:spPr>
                    <a:xfrm>
                      <a:off x="0" y="0"/>
                      <a:ext cx="1297305" cy="1510030"/>
                    </a:xfrm>
                    <a:prstGeom prst="rect">
                      <a:avLst/>
                    </a:prstGeom>
                    <a:noFill/>
                    <a:ln>
                      <a:noFill/>
                    </a:ln>
                  </pic:spPr>
                </pic:pic>
              </a:graphicData>
            </a:graphic>
          </wp:inline>
        </w:drawing>
      </w:r>
    </w:p>
    <w:p>
      <w:pPr>
        <w:pStyle w:val="51"/>
        <w:spacing w:before="163" w:after="163"/>
      </w:pPr>
      <w:r>
        <w:t>图</w:t>
      </w:r>
      <w:r>
        <w:rPr>
          <w:rFonts w:hint="eastAsia"/>
          <w:lang w:val="en-US" w:eastAsia="zh-CN"/>
        </w:rPr>
        <w:t>5.2</w:t>
      </w:r>
      <w:r>
        <w:t>-2四季及全年风频玫瑰图</w:t>
      </w:r>
    </w:p>
    <w:p>
      <w:pPr>
        <w:ind w:firstLine="480"/>
        <w:rPr>
          <w:rFonts w:ascii="Times New Roman" w:hAnsi="Times New Roman" w:eastAsia="宋体"/>
          <w:sz w:val="24"/>
        </w:rPr>
      </w:pPr>
      <w:r>
        <w:rPr>
          <w:rFonts w:hint="eastAsia" w:ascii="Times New Roman" w:hAnsi="Times New Roman" w:eastAsia="宋体"/>
          <w:sz w:val="24"/>
          <w:lang w:val="en-US" w:eastAsia="zh-CN"/>
        </w:rPr>
        <w:t>4</w:t>
      </w:r>
      <w:r>
        <w:rPr>
          <w:rFonts w:ascii="Times New Roman" w:hAnsi="Times New Roman" w:eastAsia="宋体"/>
          <w:sz w:val="24"/>
        </w:rPr>
        <w:t>、气温、湿度、降水量和蒸发量</w:t>
      </w:r>
    </w:p>
    <w:p>
      <w:pPr>
        <w:ind w:firstLine="480"/>
        <w:rPr>
          <w:rFonts w:ascii="Times New Roman" w:hAnsi="Times New Roman" w:eastAsia="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ascii="Times New Roman" w:hAnsi="Times New Roman" w:eastAsia="宋体"/>
          <w:sz w:val="24"/>
        </w:rPr>
        <w:t>项目区属中温带半干旱大陆性季风气候。气温变化较大，冬季漫长而寒冷，夏季短暂而炎热。年均气温4.3</w:t>
      </w:r>
      <w:r>
        <w:rPr>
          <w:rFonts w:hint="eastAsia" w:ascii="Times New Roman" w:hAnsi="Times New Roman" w:eastAsia="宋体" w:cs="宋体"/>
          <w:sz w:val="24"/>
        </w:rPr>
        <w:t>℃</w:t>
      </w:r>
      <w:r>
        <w:rPr>
          <w:rFonts w:ascii="Times New Roman" w:hAnsi="Times New Roman" w:eastAsia="宋体"/>
          <w:sz w:val="24"/>
        </w:rPr>
        <w:t>，最低气温-38.8</w:t>
      </w:r>
      <w:r>
        <w:rPr>
          <w:rFonts w:hint="eastAsia" w:ascii="Times New Roman" w:hAnsi="Times New Roman" w:eastAsia="宋体" w:cs="宋体"/>
          <w:sz w:val="24"/>
        </w:rPr>
        <w:t>℃</w:t>
      </w:r>
      <w:r>
        <w:rPr>
          <w:rFonts w:ascii="Times New Roman" w:hAnsi="Times New Roman" w:eastAsia="宋体"/>
          <w:sz w:val="24"/>
        </w:rPr>
        <w:t>，最高温度38.7</w:t>
      </w:r>
      <w:r>
        <w:rPr>
          <w:rFonts w:hint="eastAsia" w:ascii="Times New Roman" w:hAnsi="Times New Roman" w:eastAsia="宋体" w:cs="宋体"/>
          <w:sz w:val="24"/>
        </w:rPr>
        <w:t>℃</w:t>
      </w:r>
      <w:r>
        <w:rPr>
          <w:rFonts w:ascii="Times New Roman" w:hAnsi="Times New Roman" w:eastAsia="宋体"/>
          <w:sz w:val="24"/>
        </w:rPr>
        <w:t>，≥10</w:t>
      </w:r>
      <w:r>
        <w:rPr>
          <w:rFonts w:hint="eastAsia" w:ascii="Times New Roman" w:hAnsi="Times New Roman" w:eastAsia="宋体" w:cs="宋体"/>
          <w:sz w:val="24"/>
        </w:rPr>
        <w:t>℃</w:t>
      </w:r>
      <w:r>
        <w:rPr>
          <w:rFonts w:ascii="Times New Roman" w:hAnsi="Times New Roman" w:eastAsia="宋体"/>
          <w:sz w:val="24"/>
        </w:rPr>
        <w:t>积温2500</w:t>
      </w:r>
      <w:r>
        <w:rPr>
          <w:rFonts w:hint="eastAsia" w:ascii="Times New Roman" w:hAnsi="Times New Roman" w:eastAsia="宋体" w:cs="宋体"/>
          <w:sz w:val="24"/>
        </w:rPr>
        <w:t>℃</w:t>
      </w:r>
      <w:r>
        <w:rPr>
          <w:rFonts w:ascii="Times New Roman" w:hAnsi="Times New Roman" w:eastAsia="宋体"/>
          <w:sz w:val="24"/>
        </w:rPr>
        <w:t>。年平均降水量181.9mm，多集中在6～9月份，降雨量占全年降雨量的70%；年均蒸发量2384.3mm，年均日照时数为3231.8h，≥10</w:t>
      </w:r>
      <w:r>
        <w:rPr>
          <w:rFonts w:hint="eastAsia" w:ascii="Times New Roman" w:hAnsi="Times New Roman" w:eastAsia="宋体" w:cs="宋体"/>
          <w:sz w:val="24"/>
        </w:rPr>
        <w:t>℃</w:t>
      </w:r>
      <w:r>
        <w:rPr>
          <w:rFonts w:ascii="Times New Roman" w:hAnsi="Times New Roman" w:eastAsia="宋体"/>
          <w:sz w:val="24"/>
        </w:rPr>
        <w:t>积温2500</w:t>
      </w:r>
      <w:r>
        <w:rPr>
          <w:rFonts w:hint="eastAsia" w:ascii="Times New Roman" w:hAnsi="Times New Roman" w:eastAsia="宋体" w:cs="宋体"/>
          <w:sz w:val="24"/>
        </w:rPr>
        <w:t>℃</w:t>
      </w:r>
      <w:r>
        <w:rPr>
          <w:rFonts w:ascii="Times New Roman" w:hAnsi="Times New Roman" w:eastAsia="宋体"/>
          <w:sz w:val="24"/>
        </w:rPr>
        <w:t>。全年盛行</w:t>
      </w:r>
      <w:r>
        <w:rPr>
          <w:rFonts w:ascii="Times New Roman" w:hAnsi="Times New Roman" w:eastAsia="宋体"/>
          <w:sz w:val="24"/>
        </w:rPr>
        <w:fldChar w:fldCharType="begin"/>
      </w:r>
      <w:r>
        <w:rPr>
          <w:rFonts w:ascii="Times New Roman" w:hAnsi="Times New Roman" w:eastAsia="宋体"/>
          <w:sz w:val="24"/>
        </w:rPr>
        <w:instrText xml:space="preserve"> HYPERLINK "http://www.hudong.com/wiki/%E8%A5%BF%E5%8C%97%E9%A3%8E" \o "西北风" </w:instrText>
      </w:r>
      <w:r>
        <w:rPr>
          <w:rFonts w:ascii="Times New Roman" w:hAnsi="Times New Roman" w:eastAsia="宋体"/>
          <w:sz w:val="24"/>
        </w:rPr>
        <w:fldChar w:fldCharType="separate"/>
      </w:r>
      <w:r>
        <w:rPr>
          <w:rFonts w:ascii="Times New Roman" w:hAnsi="Times New Roman" w:eastAsia="宋体"/>
          <w:sz w:val="24"/>
        </w:rPr>
        <w:t>西风</w:t>
      </w:r>
      <w:r>
        <w:rPr>
          <w:rFonts w:ascii="Times New Roman" w:hAnsi="Times New Roman" w:eastAsia="宋体"/>
          <w:sz w:val="24"/>
        </w:rPr>
        <w:fldChar w:fldCharType="end"/>
      </w:r>
      <w:r>
        <w:rPr>
          <w:rFonts w:ascii="Times New Roman" w:hAnsi="Times New Roman" w:eastAsia="宋体"/>
          <w:sz w:val="24"/>
        </w:rPr>
        <w:t>，平均风速4.4m/s，最大风速5.3m/s。年均湿度39%。每年10月至翌年5月份为霜冻期，无霜期130天，最大冻土深度3.0m。</w:t>
      </w:r>
    </w:p>
    <w:p>
      <w:pPr>
        <w:pStyle w:val="51"/>
        <w:spacing w:before="163" w:after="163"/>
        <w:rPr>
          <w:kern w:val="32"/>
        </w:rPr>
      </w:pPr>
      <w:r>
        <w:rPr>
          <w:rFonts w:hint="eastAsia"/>
        </w:rPr>
        <w:t>表</w:t>
      </w:r>
      <w:r>
        <w:rPr>
          <w:rFonts w:hint="eastAsia"/>
          <w:lang w:val="en-US" w:eastAsia="zh-CN"/>
        </w:rPr>
        <w:t>5.2</w:t>
      </w:r>
      <w:r>
        <w:rPr>
          <w:rFonts w:hint="eastAsia"/>
        </w:rPr>
        <w:t>-1</w:t>
      </w:r>
      <w:r>
        <w:t xml:space="preserve">   </w:t>
      </w:r>
      <w:r>
        <w:rPr>
          <w:kern w:val="32"/>
        </w:rPr>
        <w:t>各风向风速统计表</w:t>
      </w:r>
    </w:p>
    <w:tbl>
      <w:tblPr>
        <w:tblStyle w:val="35"/>
        <w:tblW w:w="515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2"/>
        <w:gridCol w:w="683"/>
        <w:gridCol w:w="829"/>
        <w:gridCol w:w="745"/>
        <w:gridCol w:w="803"/>
        <w:gridCol w:w="745"/>
        <w:gridCol w:w="765"/>
        <w:gridCol w:w="745"/>
        <w:gridCol w:w="753"/>
        <w:gridCol w:w="745"/>
        <w:gridCol w:w="832"/>
        <w:gridCol w:w="745"/>
        <w:gridCol w:w="870"/>
        <w:gridCol w:w="745"/>
        <w:gridCol w:w="908"/>
        <w:gridCol w:w="768"/>
        <w:gridCol w:w="812"/>
        <w:gridCol w:w="8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3" w:hRule="atLeast"/>
        </w:trPr>
        <w:tc>
          <w:tcPr>
            <w:tcW w:w="432" w:type="pct"/>
            <w:tcBorders>
              <w:top w:val="single" w:color="auto" w:sz="12" w:space="0"/>
              <w:bottom w:val="single" w:color="auto" w:sz="6" w:space="0"/>
              <w:tl2br w:val="single" w:color="auto" w:sz="6" w:space="0"/>
            </w:tcBorders>
            <w:vAlign w:val="center"/>
          </w:tcPr>
          <w:p>
            <w:pPr>
              <w:pStyle w:val="52"/>
              <w:jc w:val="right"/>
            </w:pPr>
            <w:r>
              <w:t>风向</w:t>
            </w:r>
          </w:p>
          <w:p>
            <w:pPr>
              <w:pStyle w:val="52"/>
            </w:pPr>
          </w:p>
          <w:p>
            <w:pPr>
              <w:pStyle w:val="52"/>
              <w:jc w:val="left"/>
            </w:pPr>
            <w:r>
              <w:t>月份</w:t>
            </w:r>
          </w:p>
        </w:tc>
        <w:tc>
          <w:tcPr>
            <w:tcW w:w="234" w:type="pct"/>
            <w:vAlign w:val="center"/>
          </w:tcPr>
          <w:p>
            <w:pPr>
              <w:pStyle w:val="52"/>
            </w:pPr>
            <w:r>
              <w:t>N</w:t>
            </w:r>
          </w:p>
        </w:tc>
        <w:tc>
          <w:tcPr>
            <w:tcW w:w="284" w:type="pct"/>
            <w:vAlign w:val="center"/>
          </w:tcPr>
          <w:p>
            <w:pPr>
              <w:pStyle w:val="52"/>
            </w:pPr>
            <w:r>
              <w:t>NNE</w:t>
            </w:r>
          </w:p>
        </w:tc>
        <w:tc>
          <w:tcPr>
            <w:tcW w:w="255" w:type="pct"/>
            <w:vAlign w:val="center"/>
          </w:tcPr>
          <w:p>
            <w:pPr>
              <w:pStyle w:val="52"/>
            </w:pPr>
            <w:r>
              <w:t>NE</w:t>
            </w:r>
          </w:p>
        </w:tc>
        <w:tc>
          <w:tcPr>
            <w:tcW w:w="275" w:type="pct"/>
            <w:vAlign w:val="center"/>
          </w:tcPr>
          <w:p>
            <w:pPr>
              <w:pStyle w:val="52"/>
            </w:pPr>
            <w:r>
              <w:t>ENE</w:t>
            </w:r>
          </w:p>
        </w:tc>
        <w:tc>
          <w:tcPr>
            <w:tcW w:w="255" w:type="pct"/>
            <w:vAlign w:val="center"/>
          </w:tcPr>
          <w:p>
            <w:pPr>
              <w:pStyle w:val="52"/>
            </w:pPr>
            <w:r>
              <w:t>E</w:t>
            </w:r>
          </w:p>
        </w:tc>
        <w:tc>
          <w:tcPr>
            <w:tcW w:w="262" w:type="pct"/>
            <w:vAlign w:val="center"/>
          </w:tcPr>
          <w:p>
            <w:pPr>
              <w:pStyle w:val="52"/>
            </w:pPr>
            <w:r>
              <w:t>ESE</w:t>
            </w:r>
          </w:p>
        </w:tc>
        <w:tc>
          <w:tcPr>
            <w:tcW w:w="255" w:type="pct"/>
            <w:vAlign w:val="center"/>
          </w:tcPr>
          <w:p>
            <w:pPr>
              <w:pStyle w:val="52"/>
            </w:pPr>
            <w:r>
              <w:t>SE</w:t>
            </w:r>
          </w:p>
        </w:tc>
        <w:tc>
          <w:tcPr>
            <w:tcW w:w="258" w:type="pct"/>
            <w:vAlign w:val="center"/>
          </w:tcPr>
          <w:p>
            <w:pPr>
              <w:pStyle w:val="52"/>
            </w:pPr>
            <w:r>
              <w:t>SSE</w:t>
            </w:r>
          </w:p>
        </w:tc>
        <w:tc>
          <w:tcPr>
            <w:tcW w:w="255" w:type="pct"/>
            <w:vAlign w:val="center"/>
          </w:tcPr>
          <w:p>
            <w:pPr>
              <w:pStyle w:val="52"/>
            </w:pPr>
            <w:r>
              <w:t>S</w:t>
            </w:r>
          </w:p>
        </w:tc>
        <w:tc>
          <w:tcPr>
            <w:tcW w:w="285" w:type="pct"/>
            <w:vAlign w:val="center"/>
          </w:tcPr>
          <w:p>
            <w:pPr>
              <w:pStyle w:val="52"/>
            </w:pPr>
            <w:r>
              <w:t>SSW</w:t>
            </w:r>
          </w:p>
        </w:tc>
        <w:tc>
          <w:tcPr>
            <w:tcW w:w="255" w:type="pct"/>
            <w:vAlign w:val="center"/>
          </w:tcPr>
          <w:p>
            <w:pPr>
              <w:pStyle w:val="52"/>
            </w:pPr>
            <w:r>
              <w:t>SW</w:t>
            </w:r>
          </w:p>
        </w:tc>
        <w:tc>
          <w:tcPr>
            <w:tcW w:w="298" w:type="pct"/>
            <w:vAlign w:val="center"/>
          </w:tcPr>
          <w:p>
            <w:pPr>
              <w:pStyle w:val="52"/>
            </w:pPr>
            <w:r>
              <w:t>WSW</w:t>
            </w:r>
          </w:p>
        </w:tc>
        <w:tc>
          <w:tcPr>
            <w:tcW w:w="255" w:type="pct"/>
            <w:vAlign w:val="center"/>
          </w:tcPr>
          <w:p>
            <w:pPr>
              <w:pStyle w:val="52"/>
            </w:pPr>
            <w:r>
              <w:t>W</w:t>
            </w:r>
          </w:p>
        </w:tc>
        <w:tc>
          <w:tcPr>
            <w:tcW w:w="311" w:type="pct"/>
            <w:vAlign w:val="center"/>
          </w:tcPr>
          <w:p>
            <w:pPr>
              <w:pStyle w:val="52"/>
            </w:pPr>
            <w:r>
              <w:t>WNW</w:t>
            </w:r>
          </w:p>
        </w:tc>
        <w:tc>
          <w:tcPr>
            <w:tcW w:w="263" w:type="pct"/>
            <w:vAlign w:val="center"/>
          </w:tcPr>
          <w:p>
            <w:pPr>
              <w:pStyle w:val="52"/>
            </w:pPr>
            <w:r>
              <w:t>NW</w:t>
            </w:r>
          </w:p>
        </w:tc>
        <w:tc>
          <w:tcPr>
            <w:tcW w:w="278" w:type="pct"/>
            <w:vAlign w:val="center"/>
          </w:tcPr>
          <w:p>
            <w:pPr>
              <w:pStyle w:val="52"/>
            </w:pPr>
            <w:r>
              <w:t>NNW</w:t>
            </w:r>
          </w:p>
        </w:tc>
        <w:tc>
          <w:tcPr>
            <w:tcW w:w="290" w:type="pct"/>
            <w:vAlign w:val="center"/>
          </w:tcPr>
          <w:p>
            <w:pPr>
              <w:pStyle w:val="52"/>
            </w:pPr>
            <w: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tcBorders>
              <w:top w:val="single" w:color="auto" w:sz="6" w:space="0"/>
            </w:tcBorders>
            <w:vAlign w:val="center"/>
          </w:tcPr>
          <w:p>
            <w:pPr>
              <w:pStyle w:val="52"/>
            </w:pPr>
            <w:r>
              <w:t>十一</w:t>
            </w:r>
          </w:p>
        </w:tc>
        <w:tc>
          <w:tcPr>
            <w:tcW w:w="234" w:type="pct"/>
            <w:vAlign w:val="center"/>
          </w:tcPr>
          <w:p>
            <w:pPr>
              <w:pStyle w:val="52"/>
            </w:pPr>
            <w:r>
              <w:t>1.0</w:t>
            </w:r>
          </w:p>
        </w:tc>
        <w:tc>
          <w:tcPr>
            <w:tcW w:w="284" w:type="pct"/>
            <w:vAlign w:val="center"/>
          </w:tcPr>
          <w:p>
            <w:pPr>
              <w:pStyle w:val="52"/>
            </w:pPr>
          </w:p>
        </w:tc>
        <w:tc>
          <w:tcPr>
            <w:tcW w:w="255" w:type="pct"/>
            <w:vAlign w:val="center"/>
          </w:tcPr>
          <w:p>
            <w:pPr>
              <w:pStyle w:val="52"/>
            </w:pPr>
            <w:r>
              <w:t>2.0</w:t>
            </w:r>
          </w:p>
        </w:tc>
        <w:tc>
          <w:tcPr>
            <w:tcW w:w="275" w:type="pct"/>
            <w:vAlign w:val="center"/>
          </w:tcPr>
          <w:p>
            <w:pPr>
              <w:pStyle w:val="52"/>
            </w:pPr>
          </w:p>
        </w:tc>
        <w:tc>
          <w:tcPr>
            <w:tcW w:w="255" w:type="pct"/>
            <w:vAlign w:val="center"/>
          </w:tcPr>
          <w:p>
            <w:pPr>
              <w:pStyle w:val="52"/>
            </w:pPr>
            <w:r>
              <w:t>1.5</w:t>
            </w:r>
          </w:p>
        </w:tc>
        <w:tc>
          <w:tcPr>
            <w:tcW w:w="262" w:type="pct"/>
            <w:vAlign w:val="center"/>
          </w:tcPr>
          <w:p>
            <w:pPr>
              <w:pStyle w:val="52"/>
            </w:pPr>
            <w:r>
              <w:t>2.0</w:t>
            </w:r>
          </w:p>
        </w:tc>
        <w:tc>
          <w:tcPr>
            <w:tcW w:w="255" w:type="pct"/>
            <w:vAlign w:val="center"/>
          </w:tcPr>
          <w:p>
            <w:pPr>
              <w:pStyle w:val="52"/>
            </w:pPr>
            <w:r>
              <w:t>2.2</w:t>
            </w:r>
          </w:p>
        </w:tc>
        <w:tc>
          <w:tcPr>
            <w:tcW w:w="258" w:type="pct"/>
            <w:vAlign w:val="center"/>
          </w:tcPr>
          <w:p>
            <w:pPr>
              <w:pStyle w:val="52"/>
            </w:pPr>
            <w:r>
              <w:t>3.0</w:t>
            </w:r>
          </w:p>
        </w:tc>
        <w:tc>
          <w:tcPr>
            <w:tcW w:w="255" w:type="pct"/>
            <w:vAlign w:val="center"/>
          </w:tcPr>
          <w:p>
            <w:pPr>
              <w:pStyle w:val="52"/>
            </w:pPr>
          </w:p>
        </w:tc>
        <w:tc>
          <w:tcPr>
            <w:tcW w:w="285" w:type="pct"/>
            <w:vAlign w:val="center"/>
          </w:tcPr>
          <w:p>
            <w:pPr>
              <w:pStyle w:val="52"/>
            </w:pPr>
            <w:r>
              <w:t>4.3</w:t>
            </w:r>
          </w:p>
        </w:tc>
        <w:tc>
          <w:tcPr>
            <w:tcW w:w="255" w:type="pct"/>
            <w:vAlign w:val="center"/>
          </w:tcPr>
          <w:p>
            <w:pPr>
              <w:pStyle w:val="52"/>
            </w:pPr>
            <w:r>
              <w:t>3.8</w:t>
            </w:r>
          </w:p>
        </w:tc>
        <w:tc>
          <w:tcPr>
            <w:tcW w:w="298" w:type="pct"/>
            <w:vAlign w:val="center"/>
          </w:tcPr>
          <w:p>
            <w:pPr>
              <w:pStyle w:val="52"/>
            </w:pPr>
            <w:r>
              <w:t>4.4</w:t>
            </w:r>
          </w:p>
        </w:tc>
        <w:tc>
          <w:tcPr>
            <w:tcW w:w="255" w:type="pct"/>
            <w:vAlign w:val="center"/>
          </w:tcPr>
          <w:p>
            <w:pPr>
              <w:pStyle w:val="52"/>
            </w:pPr>
            <w:r>
              <w:t>3.4</w:t>
            </w:r>
          </w:p>
        </w:tc>
        <w:tc>
          <w:tcPr>
            <w:tcW w:w="311" w:type="pct"/>
            <w:vAlign w:val="center"/>
          </w:tcPr>
          <w:p>
            <w:pPr>
              <w:pStyle w:val="52"/>
            </w:pPr>
            <w:r>
              <w:t>3.1</w:t>
            </w:r>
          </w:p>
        </w:tc>
        <w:tc>
          <w:tcPr>
            <w:tcW w:w="263" w:type="pct"/>
            <w:vAlign w:val="center"/>
          </w:tcPr>
          <w:p>
            <w:pPr>
              <w:pStyle w:val="52"/>
            </w:pPr>
            <w:r>
              <w:t>2.0</w:t>
            </w:r>
          </w:p>
        </w:tc>
        <w:tc>
          <w:tcPr>
            <w:tcW w:w="278" w:type="pct"/>
            <w:vAlign w:val="center"/>
          </w:tcPr>
          <w:p>
            <w:pPr>
              <w:pStyle w:val="52"/>
            </w:pPr>
            <w:r>
              <w:t>1.0</w:t>
            </w:r>
          </w:p>
        </w:tc>
        <w:tc>
          <w:tcPr>
            <w:tcW w:w="290" w:type="pct"/>
            <w:vAlign w:val="center"/>
          </w:tcPr>
          <w:p>
            <w:pPr>
              <w:pStyle w:val="52"/>
            </w:pPr>
            <w: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十二</w:t>
            </w:r>
          </w:p>
        </w:tc>
        <w:tc>
          <w:tcPr>
            <w:tcW w:w="234" w:type="pct"/>
            <w:vAlign w:val="center"/>
          </w:tcPr>
          <w:p>
            <w:pPr>
              <w:pStyle w:val="52"/>
            </w:pPr>
            <w:r>
              <w:t>2.5</w:t>
            </w:r>
          </w:p>
        </w:tc>
        <w:tc>
          <w:tcPr>
            <w:tcW w:w="284" w:type="pct"/>
            <w:vAlign w:val="center"/>
          </w:tcPr>
          <w:p>
            <w:pPr>
              <w:pStyle w:val="52"/>
            </w:pPr>
            <w:r>
              <w:t>2.0</w:t>
            </w:r>
          </w:p>
        </w:tc>
        <w:tc>
          <w:tcPr>
            <w:tcW w:w="255" w:type="pct"/>
            <w:vAlign w:val="center"/>
          </w:tcPr>
          <w:p>
            <w:pPr>
              <w:pStyle w:val="52"/>
            </w:pPr>
          </w:p>
        </w:tc>
        <w:tc>
          <w:tcPr>
            <w:tcW w:w="275" w:type="pct"/>
            <w:vAlign w:val="center"/>
          </w:tcPr>
          <w:p>
            <w:pPr>
              <w:pStyle w:val="52"/>
            </w:pPr>
            <w:r>
              <w:t>1.0</w:t>
            </w:r>
          </w:p>
        </w:tc>
        <w:tc>
          <w:tcPr>
            <w:tcW w:w="255" w:type="pct"/>
            <w:vAlign w:val="center"/>
          </w:tcPr>
          <w:p>
            <w:pPr>
              <w:pStyle w:val="52"/>
            </w:pPr>
            <w:r>
              <w:t>2.0</w:t>
            </w:r>
          </w:p>
        </w:tc>
        <w:tc>
          <w:tcPr>
            <w:tcW w:w="262" w:type="pct"/>
            <w:vAlign w:val="center"/>
          </w:tcPr>
          <w:p>
            <w:pPr>
              <w:pStyle w:val="52"/>
            </w:pPr>
            <w:r>
              <w:t>2.2</w:t>
            </w:r>
          </w:p>
        </w:tc>
        <w:tc>
          <w:tcPr>
            <w:tcW w:w="255" w:type="pct"/>
            <w:vAlign w:val="center"/>
          </w:tcPr>
          <w:p>
            <w:pPr>
              <w:pStyle w:val="52"/>
            </w:pPr>
            <w:r>
              <w:t>1.3</w:t>
            </w:r>
          </w:p>
        </w:tc>
        <w:tc>
          <w:tcPr>
            <w:tcW w:w="258" w:type="pct"/>
            <w:vAlign w:val="center"/>
          </w:tcPr>
          <w:p>
            <w:pPr>
              <w:pStyle w:val="52"/>
            </w:pPr>
            <w:r>
              <w:t>2.2</w:t>
            </w:r>
          </w:p>
        </w:tc>
        <w:tc>
          <w:tcPr>
            <w:tcW w:w="255" w:type="pct"/>
            <w:vAlign w:val="center"/>
          </w:tcPr>
          <w:p>
            <w:pPr>
              <w:pStyle w:val="52"/>
            </w:pPr>
            <w:r>
              <w:t>1.0</w:t>
            </w:r>
          </w:p>
        </w:tc>
        <w:tc>
          <w:tcPr>
            <w:tcW w:w="285" w:type="pct"/>
            <w:vAlign w:val="center"/>
          </w:tcPr>
          <w:p>
            <w:pPr>
              <w:pStyle w:val="52"/>
            </w:pPr>
            <w:r>
              <w:t>4.0</w:t>
            </w:r>
          </w:p>
        </w:tc>
        <w:tc>
          <w:tcPr>
            <w:tcW w:w="255" w:type="pct"/>
            <w:vAlign w:val="center"/>
          </w:tcPr>
          <w:p>
            <w:pPr>
              <w:pStyle w:val="52"/>
            </w:pPr>
            <w:r>
              <w:t>3.3</w:t>
            </w:r>
          </w:p>
        </w:tc>
        <w:tc>
          <w:tcPr>
            <w:tcW w:w="298" w:type="pct"/>
            <w:vAlign w:val="center"/>
          </w:tcPr>
          <w:p>
            <w:pPr>
              <w:pStyle w:val="52"/>
            </w:pPr>
            <w:r>
              <w:t>3.7</w:t>
            </w:r>
          </w:p>
        </w:tc>
        <w:tc>
          <w:tcPr>
            <w:tcW w:w="255" w:type="pct"/>
            <w:vAlign w:val="center"/>
          </w:tcPr>
          <w:p>
            <w:pPr>
              <w:pStyle w:val="52"/>
            </w:pPr>
            <w:r>
              <w:t>3.0</w:t>
            </w:r>
          </w:p>
        </w:tc>
        <w:tc>
          <w:tcPr>
            <w:tcW w:w="311" w:type="pct"/>
            <w:vAlign w:val="center"/>
          </w:tcPr>
          <w:p>
            <w:pPr>
              <w:pStyle w:val="52"/>
            </w:pPr>
            <w:r>
              <w:t>4.7</w:t>
            </w:r>
          </w:p>
        </w:tc>
        <w:tc>
          <w:tcPr>
            <w:tcW w:w="263" w:type="pct"/>
            <w:vAlign w:val="center"/>
          </w:tcPr>
          <w:p>
            <w:pPr>
              <w:pStyle w:val="52"/>
            </w:pPr>
            <w:r>
              <w:t>2.5</w:t>
            </w:r>
          </w:p>
        </w:tc>
        <w:tc>
          <w:tcPr>
            <w:tcW w:w="278" w:type="pct"/>
            <w:vAlign w:val="center"/>
          </w:tcPr>
          <w:p>
            <w:pPr>
              <w:pStyle w:val="52"/>
            </w:pPr>
          </w:p>
        </w:tc>
        <w:tc>
          <w:tcPr>
            <w:tcW w:w="290" w:type="pct"/>
            <w:vAlign w:val="center"/>
          </w:tcPr>
          <w:p>
            <w:pPr>
              <w:pStyle w:val="52"/>
            </w:pPr>
            <w:r>
              <w:t>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一月</w:t>
            </w:r>
          </w:p>
        </w:tc>
        <w:tc>
          <w:tcPr>
            <w:tcW w:w="234" w:type="pct"/>
            <w:vAlign w:val="center"/>
          </w:tcPr>
          <w:p>
            <w:pPr>
              <w:pStyle w:val="52"/>
            </w:pPr>
            <w:r>
              <w:t>2.5</w:t>
            </w:r>
          </w:p>
        </w:tc>
        <w:tc>
          <w:tcPr>
            <w:tcW w:w="284" w:type="pct"/>
            <w:vAlign w:val="center"/>
          </w:tcPr>
          <w:p>
            <w:pPr>
              <w:pStyle w:val="52"/>
            </w:pPr>
          </w:p>
        </w:tc>
        <w:tc>
          <w:tcPr>
            <w:tcW w:w="255" w:type="pct"/>
            <w:vAlign w:val="center"/>
          </w:tcPr>
          <w:p>
            <w:pPr>
              <w:pStyle w:val="52"/>
            </w:pPr>
            <w:r>
              <w:t>1.0</w:t>
            </w:r>
          </w:p>
        </w:tc>
        <w:tc>
          <w:tcPr>
            <w:tcW w:w="275" w:type="pct"/>
            <w:vAlign w:val="center"/>
          </w:tcPr>
          <w:p>
            <w:pPr>
              <w:pStyle w:val="52"/>
            </w:pPr>
          </w:p>
        </w:tc>
        <w:tc>
          <w:tcPr>
            <w:tcW w:w="255" w:type="pct"/>
            <w:vAlign w:val="center"/>
          </w:tcPr>
          <w:p>
            <w:pPr>
              <w:pStyle w:val="52"/>
            </w:pPr>
            <w:r>
              <w:t>2.6</w:t>
            </w:r>
          </w:p>
        </w:tc>
        <w:tc>
          <w:tcPr>
            <w:tcW w:w="262" w:type="pct"/>
            <w:vAlign w:val="center"/>
          </w:tcPr>
          <w:p>
            <w:pPr>
              <w:pStyle w:val="52"/>
            </w:pPr>
            <w:r>
              <w:t>1.7</w:t>
            </w:r>
          </w:p>
        </w:tc>
        <w:tc>
          <w:tcPr>
            <w:tcW w:w="255" w:type="pct"/>
            <w:vAlign w:val="center"/>
          </w:tcPr>
          <w:p>
            <w:pPr>
              <w:pStyle w:val="52"/>
            </w:pPr>
            <w:r>
              <w:t>2.5</w:t>
            </w:r>
          </w:p>
        </w:tc>
        <w:tc>
          <w:tcPr>
            <w:tcW w:w="258" w:type="pct"/>
            <w:vAlign w:val="center"/>
          </w:tcPr>
          <w:p>
            <w:pPr>
              <w:pStyle w:val="52"/>
            </w:pPr>
            <w:r>
              <w:t>2.8</w:t>
            </w:r>
          </w:p>
        </w:tc>
        <w:tc>
          <w:tcPr>
            <w:tcW w:w="255" w:type="pct"/>
            <w:vAlign w:val="center"/>
          </w:tcPr>
          <w:p>
            <w:pPr>
              <w:pStyle w:val="52"/>
            </w:pPr>
            <w:r>
              <w:t>3.0</w:t>
            </w:r>
          </w:p>
        </w:tc>
        <w:tc>
          <w:tcPr>
            <w:tcW w:w="285" w:type="pct"/>
            <w:vAlign w:val="center"/>
          </w:tcPr>
          <w:p>
            <w:pPr>
              <w:pStyle w:val="52"/>
            </w:pPr>
          </w:p>
        </w:tc>
        <w:tc>
          <w:tcPr>
            <w:tcW w:w="255" w:type="pct"/>
            <w:vAlign w:val="center"/>
          </w:tcPr>
          <w:p>
            <w:pPr>
              <w:pStyle w:val="52"/>
            </w:pPr>
            <w:r>
              <w:t>3.7</w:t>
            </w:r>
          </w:p>
        </w:tc>
        <w:tc>
          <w:tcPr>
            <w:tcW w:w="298" w:type="pct"/>
            <w:vAlign w:val="center"/>
          </w:tcPr>
          <w:p>
            <w:pPr>
              <w:pStyle w:val="52"/>
            </w:pPr>
            <w:r>
              <w:t>4.1</w:t>
            </w:r>
          </w:p>
        </w:tc>
        <w:tc>
          <w:tcPr>
            <w:tcW w:w="255" w:type="pct"/>
            <w:vAlign w:val="center"/>
          </w:tcPr>
          <w:p>
            <w:pPr>
              <w:pStyle w:val="52"/>
            </w:pPr>
            <w:r>
              <w:t>2.9</w:t>
            </w:r>
          </w:p>
        </w:tc>
        <w:tc>
          <w:tcPr>
            <w:tcW w:w="311" w:type="pct"/>
            <w:vAlign w:val="center"/>
          </w:tcPr>
          <w:p>
            <w:pPr>
              <w:pStyle w:val="52"/>
            </w:pPr>
            <w:r>
              <w:t>3.6</w:t>
            </w:r>
          </w:p>
        </w:tc>
        <w:tc>
          <w:tcPr>
            <w:tcW w:w="263" w:type="pct"/>
            <w:vAlign w:val="center"/>
          </w:tcPr>
          <w:p>
            <w:pPr>
              <w:pStyle w:val="52"/>
            </w:pPr>
            <w:r>
              <w:t>1.5</w:t>
            </w:r>
          </w:p>
        </w:tc>
        <w:tc>
          <w:tcPr>
            <w:tcW w:w="278" w:type="pct"/>
            <w:vAlign w:val="center"/>
          </w:tcPr>
          <w:p>
            <w:pPr>
              <w:pStyle w:val="52"/>
            </w:pPr>
            <w:r>
              <w:t>1.0</w:t>
            </w:r>
          </w:p>
        </w:tc>
        <w:tc>
          <w:tcPr>
            <w:tcW w:w="290" w:type="pct"/>
            <w:vAlign w:val="center"/>
          </w:tcPr>
          <w:p>
            <w:pPr>
              <w:pStyle w:val="52"/>
            </w:pPr>
            <w:r>
              <w:t>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trPr>
        <w:tc>
          <w:tcPr>
            <w:tcW w:w="432" w:type="pct"/>
            <w:vAlign w:val="center"/>
          </w:tcPr>
          <w:p>
            <w:pPr>
              <w:pStyle w:val="52"/>
            </w:pPr>
            <w:r>
              <w:t>二月</w:t>
            </w:r>
          </w:p>
        </w:tc>
        <w:tc>
          <w:tcPr>
            <w:tcW w:w="234" w:type="pct"/>
            <w:vAlign w:val="center"/>
          </w:tcPr>
          <w:p>
            <w:pPr>
              <w:pStyle w:val="52"/>
            </w:pPr>
          </w:p>
        </w:tc>
        <w:tc>
          <w:tcPr>
            <w:tcW w:w="284" w:type="pct"/>
            <w:vAlign w:val="center"/>
          </w:tcPr>
          <w:p>
            <w:pPr>
              <w:pStyle w:val="52"/>
            </w:pPr>
          </w:p>
        </w:tc>
        <w:tc>
          <w:tcPr>
            <w:tcW w:w="255" w:type="pct"/>
            <w:vAlign w:val="center"/>
          </w:tcPr>
          <w:p>
            <w:pPr>
              <w:pStyle w:val="52"/>
            </w:pPr>
            <w:r>
              <w:t>2.3</w:t>
            </w:r>
          </w:p>
        </w:tc>
        <w:tc>
          <w:tcPr>
            <w:tcW w:w="275" w:type="pct"/>
            <w:vAlign w:val="center"/>
          </w:tcPr>
          <w:p>
            <w:pPr>
              <w:pStyle w:val="52"/>
            </w:pPr>
            <w:r>
              <w:t>3.0</w:t>
            </w:r>
          </w:p>
        </w:tc>
        <w:tc>
          <w:tcPr>
            <w:tcW w:w="255" w:type="pct"/>
            <w:vAlign w:val="center"/>
          </w:tcPr>
          <w:p>
            <w:pPr>
              <w:pStyle w:val="52"/>
            </w:pPr>
            <w:r>
              <w:t>1.0</w:t>
            </w:r>
          </w:p>
        </w:tc>
        <w:tc>
          <w:tcPr>
            <w:tcW w:w="262" w:type="pct"/>
            <w:vAlign w:val="center"/>
          </w:tcPr>
          <w:p>
            <w:pPr>
              <w:pStyle w:val="52"/>
            </w:pPr>
            <w:r>
              <w:t>1.7</w:t>
            </w:r>
          </w:p>
        </w:tc>
        <w:tc>
          <w:tcPr>
            <w:tcW w:w="255" w:type="pct"/>
            <w:vAlign w:val="center"/>
          </w:tcPr>
          <w:p>
            <w:pPr>
              <w:pStyle w:val="52"/>
            </w:pPr>
            <w:r>
              <w:t>1.0</w:t>
            </w:r>
          </w:p>
        </w:tc>
        <w:tc>
          <w:tcPr>
            <w:tcW w:w="258" w:type="pct"/>
            <w:vAlign w:val="center"/>
          </w:tcPr>
          <w:p>
            <w:pPr>
              <w:pStyle w:val="52"/>
            </w:pPr>
            <w:r>
              <w:t>2.0</w:t>
            </w:r>
          </w:p>
        </w:tc>
        <w:tc>
          <w:tcPr>
            <w:tcW w:w="255" w:type="pct"/>
            <w:vAlign w:val="center"/>
          </w:tcPr>
          <w:p>
            <w:pPr>
              <w:pStyle w:val="52"/>
            </w:pPr>
          </w:p>
        </w:tc>
        <w:tc>
          <w:tcPr>
            <w:tcW w:w="285" w:type="pct"/>
            <w:vAlign w:val="center"/>
          </w:tcPr>
          <w:p>
            <w:pPr>
              <w:pStyle w:val="52"/>
            </w:pPr>
          </w:p>
        </w:tc>
        <w:tc>
          <w:tcPr>
            <w:tcW w:w="255" w:type="pct"/>
            <w:vAlign w:val="center"/>
          </w:tcPr>
          <w:p>
            <w:pPr>
              <w:pStyle w:val="52"/>
            </w:pPr>
            <w:r>
              <w:t>3.4</w:t>
            </w:r>
          </w:p>
        </w:tc>
        <w:tc>
          <w:tcPr>
            <w:tcW w:w="298" w:type="pct"/>
            <w:vAlign w:val="center"/>
          </w:tcPr>
          <w:p>
            <w:pPr>
              <w:pStyle w:val="52"/>
            </w:pPr>
            <w:r>
              <w:t>4.0</w:t>
            </w:r>
          </w:p>
        </w:tc>
        <w:tc>
          <w:tcPr>
            <w:tcW w:w="255" w:type="pct"/>
            <w:vAlign w:val="center"/>
          </w:tcPr>
          <w:p>
            <w:pPr>
              <w:pStyle w:val="52"/>
            </w:pPr>
            <w:r>
              <w:t>3.5</w:t>
            </w:r>
          </w:p>
        </w:tc>
        <w:tc>
          <w:tcPr>
            <w:tcW w:w="311" w:type="pct"/>
            <w:vAlign w:val="center"/>
          </w:tcPr>
          <w:p>
            <w:pPr>
              <w:pStyle w:val="52"/>
            </w:pPr>
            <w:r>
              <w:t>2.7</w:t>
            </w:r>
          </w:p>
        </w:tc>
        <w:tc>
          <w:tcPr>
            <w:tcW w:w="263" w:type="pct"/>
            <w:vAlign w:val="center"/>
          </w:tcPr>
          <w:p>
            <w:pPr>
              <w:pStyle w:val="52"/>
            </w:pPr>
            <w:r>
              <w:t>2.0</w:t>
            </w:r>
          </w:p>
        </w:tc>
        <w:tc>
          <w:tcPr>
            <w:tcW w:w="278" w:type="pct"/>
            <w:vAlign w:val="center"/>
          </w:tcPr>
          <w:p>
            <w:pPr>
              <w:pStyle w:val="52"/>
            </w:pPr>
            <w:r>
              <w:t>3.0</w:t>
            </w:r>
          </w:p>
        </w:tc>
        <w:tc>
          <w:tcPr>
            <w:tcW w:w="290" w:type="pct"/>
            <w:vAlign w:val="center"/>
          </w:tcPr>
          <w:p>
            <w:pPr>
              <w:pStyle w:val="52"/>
            </w:pPr>
            <w: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三月</w:t>
            </w:r>
          </w:p>
        </w:tc>
        <w:tc>
          <w:tcPr>
            <w:tcW w:w="234" w:type="pct"/>
            <w:vAlign w:val="center"/>
          </w:tcPr>
          <w:p>
            <w:pPr>
              <w:pStyle w:val="52"/>
            </w:pPr>
            <w:r>
              <w:t>3.4</w:t>
            </w:r>
          </w:p>
        </w:tc>
        <w:tc>
          <w:tcPr>
            <w:tcW w:w="284" w:type="pct"/>
            <w:vAlign w:val="center"/>
          </w:tcPr>
          <w:p>
            <w:pPr>
              <w:pStyle w:val="52"/>
            </w:pPr>
            <w:r>
              <w:t>4.0</w:t>
            </w:r>
          </w:p>
        </w:tc>
        <w:tc>
          <w:tcPr>
            <w:tcW w:w="255" w:type="pct"/>
            <w:vAlign w:val="center"/>
          </w:tcPr>
          <w:p>
            <w:pPr>
              <w:pStyle w:val="52"/>
            </w:pPr>
            <w:r>
              <w:t>2.0</w:t>
            </w:r>
          </w:p>
        </w:tc>
        <w:tc>
          <w:tcPr>
            <w:tcW w:w="275" w:type="pct"/>
            <w:vAlign w:val="center"/>
          </w:tcPr>
          <w:p>
            <w:pPr>
              <w:pStyle w:val="52"/>
            </w:pPr>
            <w:r>
              <w:t>2.0</w:t>
            </w:r>
          </w:p>
        </w:tc>
        <w:tc>
          <w:tcPr>
            <w:tcW w:w="255" w:type="pct"/>
            <w:vAlign w:val="center"/>
          </w:tcPr>
          <w:p>
            <w:pPr>
              <w:pStyle w:val="52"/>
            </w:pPr>
            <w:r>
              <w:t>2.5</w:t>
            </w:r>
          </w:p>
        </w:tc>
        <w:tc>
          <w:tcPr>
            <w:tcW w:w="262" w:type="pct"/>
            <w:vAlign w:val="center"/>
          </w:tcPr>
          <w:p>
            <w:pPr>
              <w:pStyle w:val="52"/>
            </w:pPr>
            <w:r>
              <w:t>2.0</w:t>
            </w:r>
          </w:p>
        </w:tc>
        <w:tc>
          <w:tcPr>
            <w:tcW w:w="255" w:type="pct"/>
            <w:vAlign w:val="center"/>
          </w:tcPr>
          <w:p>
            <w:pPr>
              <w:pStyle w:val="52"/>
            </w:pPr>
            <w:r>
              <w:t>2.4</w:t>
            </w:r>
          </w:p>
        </w:tc>
        <w:tc>
          <w:tcPr>
            <w:tcW w:w="258" w:type="pct"/>
            <w:vAlign w:val="center"/>
          </w:tcPr>
          <w:p>
            <w:pPr>
              <w:pStyle w:val="52"/>
            </w:pPr>
            <w:r>
              <w:t>4.3</w:t>
            </w:r>
          </w:p>
        </w:tc>
        <w:tc>
          <w:tcPr>
            <w:tcW w:w="255" w:type="pct"/>
            <w:vAlign w:val="center"/>
          </w:tcPr>
          <w:p>
            <w:pPr>
              <w:pStyle w:val="52"/>
            </w:pPr>
          </w:p>
        </w:tc>
        <w:tc>
          <w:tcPr>
            <w:tcW w:w="285" w:type="pct"/>
            <w:vAlign w:val="center"/>
          </w:tcPr>
          <w:p>
            <w:pPr>
              <w:pStyle w:val="52"/>
            </w:pPr>
            <w:r>
              <w:t>1.0</w:t>
            </w:r>
          </w:p>
        </w:tc>
        <w:tc>
          <w:tcPr>
            <w:tcW w:w="255" w:type="pct"/>
            <w:vAlign w:val="center"/>
          </w:tcPr>
          <w:p>
            <w:pPr>
              <w:pStyle w:val="52"/>
            </w:pPr>
            <w:r>
              <w:t>3.8</w:t>
            </w:r>
          </w:p>
        </w:tc>
        <w:tc>
          <w:tcPr>
            <w:tcW w:w="298" w:type="pct"/>
            <w:vAlign w:val="center"/>
          </w:tcPr>
          <w:p>
            <w:pPr>
              <w:pStyle w:val="52"/>
            </w:pPr>
            <w:r>
              <w:t>3.4</w:t>
            </w:r>
          </w:p>
        </w:tc>
        <w:tc>
          <w:tcPr>
            <w:tcW w:w="255" w:type="pct"/>
            <w:vAlign w:val="center"/>
          </w:tcPr>
          <w:p>
            <w:pPr>
              <w:pStyle w:val="52"/>
            </w:pPr>
            <w:r>
              <w:t>4.1</w:t>
            </w:r>
          </w:p>
        </w:tc>
        <w:tc>
          <w:tcPr>
            <w:tcW w:w="311" w:type="pct"/>
            <w:vAlign w:val="center"/>
          </w:tcPr>
          <w:p>
            <w:pPr>
              <w:pStyle w:val="52"/>
            </w:pPr>
            <w:r>
              <w:t>2.5</w:t>
            </w:r>
          </w:p>
        </w:tc>
        <w:tc>
          <w:tcPr>
            <w:tcW w:w="263" w:type="pct"/>
            <w:vAlign w:val="center"/>
          </w:tcPr>
          <w:p>
            <w:pPr>
              <w:pStyle w:val="52"/>
            </w:pPr>
            <w:r>
              <w:t>3.2</w:t>
            </w:r>
          </w:p>
        </w:tc>
        <w:tc>
          <w:tcPr>
            <w:tcW w:w="278" w:type="pct"/>
            <w:vAlign w:val="center"/>
          </w:tcPr>
          <w:p>
            <w:pPr>
              <w:pStyle w:val="52"/>
            </w:pPr>
            <w:r>
              <w:t>2.5</w:t>
            </w:r>
          </w:p>
        </w:tc>
        <w:tc>
          <w:tcPr>
            <w:tcW w:w="290" w:type="pct"/>
            <w:vAlign w:val="center"/>
          </w:tcPr>
          <w:p>
            <w:pPr>
              <w:pStyle w:val="52"/>
            </w:pPr>
            <w:r>
              <w:t>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四月</w:t>
            </w:r>
          </w:p>
        </w:tc>
        <w:tc>
          <w:tcPr>
            <w:tcW w:w="234" w:type="pct"/>
            <w:vAlign w:val="center"/>
          </w:tcPr>
          <w:p>
            <w:pPr>
              <w:pStyle w:val="52"/>
            </w:pPr>
            <w:r>
              <w:t>3.5</w:t>
            </w:r>
          </w:p>
        </w:tc>
        <w:tc>
          <w:tcPr>
            <w:tcW w:w="284" w:type="pct"/>
            <w:vAlign w:val="center"/>
          </w:tcPr>
          <w:p>
            <w:pPr>
              <w:pStyle w:val="52"/>
            </w:pPr>
            <w:r>
              <w:t>4.9</w:t>
            </w:r>
          </w:p>
        </w:tc>
        <w:tc>
          <w:tcPr>
            <w:tcW w:w="255" w:type="pct"/>
            <w:vAlign w:val="center"/>
          </w:tcPr>
          <w:p>
            <w:pPr>
              <w:pStyle w:val="52"/>
            </w:pPr>
          </w:p>
        </w:tc>
        <w:tc>
          <w:tcPr>
            <w:tcW w:w="275" w:type="pct"/>
            <w:vAlign w:val="center"/>
          </w:tcPr>
          <w:p>
            <w:pPr>
              <w:pStyle w:val="52"/>
            </w:pPr>
          </w:p>
        </w:tc>
        <w:tc>
          <w:tcPr>
            <w:tcW w:w="255" w:type="pct"/>
            <w:vAlign w:val="center"/>
          </w:tcPr>
          <w:p>
            <w:pPr>
              <w:pStyle w:val="52"/>
            </w:pPr>
            <w:r>
              <w:t>2.5</w:t>
            </w:r>
          </w:p>
        </w:tc>
        <w:tc>
          <w:tcPr>
            <w:tcW w:w="262" w:type="pct"/>
            <w:vAlign w:val="center"/>
          </w:tcPr>
          <w:p>
            <w:pPr>
              <w:pStyle w:val="52"/>
            </w:pPr>
            <w:r>
              <w:t>2.0</w:t>
            </w:r>
          </w:p>
        </w:tc>
        <w:tc>
          <w:tcPr>
            <w:tcW w:w="255" w:type="pct"/>
            <w:vAlign w:val="center"/>
          </w:tcPr>
          <w:p>
            <w:pPr>
              <w:pStyle w:val="52"/>
            </w:pPr>
            <w:r>
              <w:t>1.5</w:t>
            </w:r>
          </w:p>
        </w:tc>
        <w:tc>
          <w:tcPr>
            <w:tcW w:w="258" w:type="pct"/>
            <w:vAlign w:val="center"/>
          </w:tcPr>
          <w:p>
            <w:pPr>
              <w:pStyle w:val="52"/>
            </w:pPr>
            <w:r>
              <w:t>5.3</w:t>
            </w:r>
          </w:p>
        </w:tc>
        <w:tc>
          <w:tcPr>
            <w:tcW w:w="255" w:type="pct"/>
            <w:vAlign w:val="center"/>
          </w:tcPr>
          <w:p>
            <w:pPr>
              <w:pStyle w:val="52"/>
            </w:pPr>
            <w:r>
              <w:t>4.0</w:t>
            </w:r>
          </w:p>
        </w:tc>
        <w:tc>
          <w:tcPr>
            <w:tcW w:w="285" w:type="pct"/>
            <w:vAlign w:val="center"/>
          </w:tcPr>
          <w:p>
            <w:pPr>
              <w:pStyle w:val="52"/>
            </w:pPr>
            <w:r>
              <w:t>4.9</w:t>
            </w:r>
          </w:p>
        </w:tc>
        <w:tc>
          <w:tcPr>
            <w:tcW w:w="255" w:type="pct"/>
            <w:vAlign w:val="center"/>
          </w:tcPr>
          <w:p>
            <w:pPr>
              <w:pStyle w:val="52"/>
            </w:pPr>
            <w:r>
              <w:t>4.2</w:t>
            </w:r>
          </w:p>
        </w:tc>
        <w:tc>
          <w:tcPr>
            <w:tcW w:w="298" w:type="pct"/>
            <w:vAlign w:val="center"/>
          </w:tcPr>
          <w:p>
            <w:pPr>
              <w:pStyle w:val="52"/>
            </w:pPr>
            <w:r>
              <w:t>5.7</w:t>
            </w:r>
          </w:p>
        </w:tc>
        <w:tc>
          <w:tcPr>
            <w:tcW w:w="255" w:type="pct"/>
            <w:vAlign w:val="center"/>
          </w:tcPr>
          <w:p>
            <w:pPr>
              <w:pStyle w:val="52"/>
            </w:pPr>
            <w:r>
              <w:t>5.5</w:t>
            </w:r>
          </w:p>
        </w:tc>
        <w:tc>
          <w:tcPr>
            <w:tcW w:w="311" w:type="pct"/>
            <w:vAlign w:val="center"/>
          </w:tcPr>
          <w:p>
            <w:pPr>
              <w:pStyle w:val="52"/>
            </w:pPr>
            <w:r>
              <w:t>4.1</w:t>
            </w:r>
          </w:p>
        </w:tc>
        <w:tc>
          <w:tcPr>
            <w:tcW w:w="263" w:type="pct"/>
            <w:vAlign w:val="center"/>
          </w:tcPr>
          <w:p>
            <w:pPr>
              <w:pStyle w:val="52"/>
            </w:pPr>
            <w:r>
              <w:t>3.4</w:t>
            </w:r>
          </w:p>
        </w:tc>
        <w:tc>
          <w:tcPr>
            <w:tcW w:w="278" w:type="pct"/>
            <w:vAlign w:val="center"/>
          </w:tcPr>
          <w:p>
            <w:pPr>
              <w:pStyle w:val="52"/>
            </w:pPr>
            <w:r>
              <w:t>3.6</w:t>
            </w:r>
          </w:p>
        </w:tc>
        <w:tc>
          <w:tcPr>
            <w:tcW w:w="290" w:type="pct"/>
            <w:vAlign w:val="center"/>
          </w:tcPr>
          <w:p>
            <w:pPr>
              <w:pStyle w:val="52"/>
            </w:pPr>
            <w: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五月</w:t>
            </w:r>
          </w:p>
        </w:tc>
        <w:tc>
          <w:tcPr>
            <w:tcW w:w="234" w:type="pct"/>
            <w:vAlign w:val="center"/>
          </w:tcPr>
          <w:p>
            <w:pPr>
              <w:pStyle w:val="52"/>
            </w:pPr>
            <w:r>
              <w:t>2.3</w:t>
            </w:r>
          </w:p>
        </w:tc>
        <w:tc>
          <w:tcPr>
            <w:tcW w:w="284" w:type="pct"/>
            <w:vAlign w:val="center"/>
          </w:tcPr>
          <w:p>
            <w:pPr>
              <w:pStyle w:val="52"/>
            </w:pPr>
            <w:r>
              <w:t>3.2</w:t>
            </w:r>
          </w:p>
        </w:tc>
        <w:tc>
          <w:tcPr>
            <w:tcW w:w="255" w:type="pct"/>
            <w:vAlign w:val="center"/>
          </w:tcPr>
          <w:p>
            <w:pPr>
              <w:pStyle w:val="52"/>
            </w:pPr>
            <w:r>
              <w:t>2.3</w:t>
            </w:r>
          </w:p>
        </w:tc>
        <w:tc>
          <w:tcPr>
            <w:tcW w:w="275" w:type="pct"/>
            <w:vAlign w:val="center"/>
          </w:tcPr>
          <w:p>
            <w:pPr>
              <w:pStyle w:val="52"/>
            </w:pPr>
          </w:p>
        </w:tc>
        <w:tc>
          <w:tcPr>
            <w:tcW w:w="255" w:type="pct"/>
            <w:vAlign w:val="center"/>
          </w:tcPr>
          <w:p>
            <w:pPr>
              <w:pStyle w:val="52"/>
            </w:pPr>
            <w:r>
              <w:t>2.5</w:t>
            </w:r>
          </w:p>
        </w:tc>
        <w:tc>
          <w:tcPr>
            <w:tcW w:w="262" w:type="pct"/>
            <w:vAlign w:val="center"/>
          </w:tcPr>
          <w:p>
            <w:pPr>
              <w:pStyle w:val="52"/>
            </w:pPr>
            <w:r>
              <w:t>4.7</w:t>
            </w:r>
          </w:p>
        </w:tc>
        <w:tc>
          <w:tcPr>
            <w:tcW w:w="255" w:type="pct"/>
            <w:vAlign w:val="center"/>
          </w:tcPr>
          <w:p>
            <w:pPr>
              <w:pStyle w:val="52"/>
            </w:pPr>
            <w:r>
              <w:t>3.0</w:t>
            </w:r>
          </w:p>
        </w:tc>
        <w:tc>
          <w:tcPr>
            <w:tcW w:w="258" w:type="pct"/>
            <w:vAlign w:val="center"/>
          </w:tcPr>
          <w:p>
            <w:pPr>
              <w:pStyle w:val="52"/>
            </w:pPr>
            <w:r>
              <w:t>7.0</w:t>
            </w:r>
          </w:p>
        </w:tc>
        <w:tc>
          <w:tcPr>
            <w:tcW w:w="255" w:type="pct"/>
            <w:vAlign w:val="center"/>
          </w:tcPr>
          <w:p>
            <w:pPr>
              <w:pStyle w:val="52"/>
            </w:pPr>
            <w:r>
              <w:t>5.0</w:t>
            </w:r>
          </w:p>
        </w:tc>
        <w:tc>
          <w:tcPr>
            <w:tcW w:w="285" w:type="pct"/>
            <w:vAlign w:val="center"/>
          </w:tcPr>
          <w:p>
            <w:pPr>
              <w:pStyle w:val="52"/>
            </w:pPr>
            <w:r>
              <w:t>4.4</w:t>
            </w:r>
          </w:p>
        </w:tc>
        <w:tc>
          <w:tcPr>
            <w:tcW w:w="255" w:type="pct"/>
            <w:vAlign w:val="center"/>
          </w:tcPr>
          <w:p>
            <w:pPr>
              <w:pStyle w:val="52"/>
            </w:pPr>
            <w:r>
              <w:t>4.7</w:t>
            </w:r>
          </w:p>
        </w:tc>
        <w:tc>
          <w:tcPr>
            <w:tcW w:w="298" w:type="pct"/>
            <w:vAlign w:val="center"/>
          </w:tcPr>
          <w:p>
            <w:pPr>
              <w:pStyle w:val="52"/>
            </w:pPr>
            <w:r>
              <w:t>5.2</w:t>
            </w:r>
          </w:p>
        </w:tc>
        <w:tc>
          <w:tcPr>
            <w:tcW w:w="255" w:type="pct"/>
            <w:vAlign w:val="center"/>
          </w:tcPr>
          <w:p>
            <w:pPr>
              <w:pStyle w:val="52"/>
            </w:pPr>
            <w:r>
              <w:t>4.6</w:t>
            </w:r>
          </w:p>
        </w:tc>
        <w:tc>
          <w:tcPr>
            <w:tcW w:w="311" w:type="pct"/>
            <w:vAlign w:val="center"/>
          </w:tcPr>
          <w:p>
            <w:pPr>
              <w:pStyle w:val="52"/>
            </w:pPr>
            <w:r>
              <w:t>4.6</w:t>
            </w:r>
          </w:p>
        </w:tc>
        <w:tc>
          <w:tcPr>
            <w:tcW w:w="263" w:type="pct"/>
            <w:vAlign w:val="center"/>
          </w:tcPr>
          <w:p>
            <w:pPr>
              <w:pStyle w:val="52"/>
            </w:pPr>
            <w:r>
              <w:t>3.6</w:t>
            </w:r>
          </w:p>
        </w:tc>
        <w:tc>
          <w:tcPr>
            <w:tcW w:w="278" w:type="pct"/>
            <w:vAlign w:val="center"/>
          </w:tcPr>
          <w:p>
            <w:pPr>
              <w:pStyle w:val="52"/>
            </w:pPr>
            <w:r>
              <w:t>2.7</w:t>
            </w:r>
          </w:p>
        </w:tc>
        <w:tc>
          <w:tcPr>
            <w:tcW w:w="290" w:type="pct"/>
            <w:vAlign w:val="center"/>
          </w:tcPr>
          <w:p>
            <w:pPr>
              <w:pStyle w:val="52"/>
            </w:pPr>
            <w:r>
              <w:t>16.9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trPr>
        <w:tc>
          <w:tcPr>
            <w:tcW w:w="432" w:type="pct"/>
            <w:vAlign w:val="center"/>
          </w:tcPr>
          <w:p>
            <w:pPr>
              <w:pStyle w:val="52"/>
            </w:pPr>
            <w:r>
              <w:t>六月</w:t>
            </w:r>
          </w:p>
        </w:tc>
        <w:tc>
          <w:tcPr>
            <w:tcW w:w="234" w:type="pct"/>
            <w:vAlign w:val="center"/>
          </w:tcPr>
          <w:p>
            <w:pPr>
              <w:pStyle w:val="52"/>
            </w:pPr>
            <w:r>
              <w:t>1.7</w:t>
            </w:r>
          </w:p>
        </w:tc>
        <w:tc>
          <w:tcPr>
            <w:tcW w:w="284" w:type="pct"/>
            <w:vAlign w:val="center"/>
          </w:tcPr>
          <w:p>
            <w:pPr>
              <w:pStyle w:val="52"/>
            </w:pPr>
            <w:r>
              <w:t>2.2</w:t>
            </w:r>
          </w:p>
        </w:tc>
        <w:tc>
          <w:tcPr>
            <w:tcW w:w="255" w:type="pct"/>
            <w:vAlign w:val="center"/>
          </w:tcPr>
          <w:p>
            <w:pPr>
              <w:pStyle w:val="52"/>
            </w:pPr>
            <w:r>
              <w:t>2.0</w:t>
            </w:r>
          </w:p>
        </w:tc>
        <w:tc>
          <w:tcPr>
            <w:tcW w:w="275" w:type="pct"/>
            <w:vAlign w:val="center"/>
          </w:tcPr>
          <w:p>
            <w:pPr>
              <w:pStyle w:val="52"/>
            </w:pPr>
            <w:r>
              <w:t>1.5</w:t>
            </w:r>
          </w:p>
        </w:tc>
        <w:tc>
          <w:tcPr>
            <w:tcW w:w="255" w:type="pct"/>
            <w:vAlign w:val="center"/>
          </w:tcPr>
          <w:p>
            <w:pPr>
              <w:pStyle w:val="52"/>
            </w:pPr>
            <w:r>
              <w:t>2.3</w:t>
            </w:r>
          </w:p>
        </w:tc>
        <w:tc>
          <w:tcPr>
            <w:tcW w:w="262" w:type="pct"/>
            <w:vAlign w:val="center"/>
          </w:tcPr>
          <w:p>
            <w:pPr>
              <w:pStyle w:val="52"/>
            </w:pPr>
            <w:r>
              <w:t>2.5</w:t>
            </w:r>
          </w:p>
        </w:tc>
        <w:tc>
          <w:tcPr>
            <w:tcW w:w="255" w:type="pct"/>
            <w:vAlign w:val="center"/>
          </w:tcPr>
          <w:p>
            <w:pPr>
              <w:pStyle w:val="52"/>
            </w:pPr>
            <w:r>
              <w:t>2.5</w:t>
            </w:r>
          </w:p>
        </w:tc>
        <w:tc>
          <w:tcPr>
            <w:tcW w:w="258" w:type="pct"/>
            <w:vAlign w:val="center"/>
          </w:tcPr>
          <w:p>
            <w:pPr>
              <w:pStyle w:val="52"/>
            </w:pPr>
            <w:r>
              <w:t>3.2</w:t>
            </w:r>
          </w:p>
        </w:tc>
        <w:tc>
          <w:tcPr>
            <w:tcW w:w="255" w:type="pct"/>
            <w:vAlign w:val="center"/>
          </w:tcPr>
          <w:p>
            <w:pPr>
              <w:pStyle w:val="52"/>
            </w:pPr>
            <w:r>
              <w:t>3.8</w:t>
            </w:r>
          </w:p>
        </w:tc>
        <w:tc>
          <w:tcPr>
            <w:tcW w:w="285" w:type="pct"/>
            <w:vAlign w:val="center"/>
          </w:tcPr>
          <w:p>
            <w:pPr>
              <w:pStyle w:val="52"/>
            </w:pPr>
            <w:r>
              <w:t>5.0</w:t>
            </w:r>
          </w:p>
        </w:tc>
        <w:tc>
          <w:tcPr>
            <w:tcW w:w="255" w:type="pct"/>
            <w:vAlign w:val="center"/>
          </w:tcPr>
          <w:p>
            <w:pPr>
              <w:pStyle w:val="52"/>
            </w:pPr>
            <w:r>
              <w:t>2.3</w:t>
            </w:r>
          </w:p>
        </w:tc>
        <w:tc>
          <w:tcPr>
            <w:tcW w:w="298" w:type="pct"/>
            <w:vAlign w:val="center"/>
          </w:tcPr>
          <w:p>
            <w:pPr>
              <w:pStyle w:val="52"/>
            </w:pPr>
            <w:r>
              <w:t>3.0</w:t>
            </w:r>
          </w:p>
        </w:tc>
        <w:tc>
          <w:tcPr>
            <w:tcW w:w="255" w:type="pct"/>
            <w:vAlign w:val="center"/>
          </w:tcPr>
          <w:p>
            <w:pPr>
              <w:pStyle w:val="52"/>
            </w:pPr>
            <w:r>
              <w:t>2.0</w:t>
            </w:r>
          </w:p>
        </w:tc>
        <w:tc>
          <w:tcPr>
            <w:tcW w:w="311" w:type="pct"/>
            <w:vAlign w:val="center"/>
          </w:tcPr>
          <w:p>
            <w:pPr>
              <w:pStyle w:val="52"/>
            </w:pPr>
            <w:r>
              <w:t>2.0</w:t>
            </w:r>
          </w:p>
        </w:tc>
        <w:tc>
          <w:tcPr>
            <w:tcW w:w="263" w:type="pct"/>
            <w:vAlign w:val="center"/>
          </w:tcPr>
          <w:p>
            <w:pPr>
              <w:pStyle w:val="52"/>
            </w:pPr>
            <w:r>
              <w:t>4.0</w:t>
            </w:r>
          </w:p>
        </w:tc>
        <w:tc>
          <w:tcPr>
            <w:tcW w:w="278" w:type="pct"/>
            <w:vAlign w:val="center"/>
          </w:tcPr>
          <w:p>
            <w:pPr>
              <w:pStyle w:val="52"/>
            </w:pPr>
          </w:p>
        </w:tc>
        <w:tc>
          <w:tcPr>
            <w:tcW w:w="290" w:type="pct"/>
            <w:vAlign w:val="center"/>
          </w:tcPr>
          <w:p>
            <w:pPr>
              <w:pStyle w:val="52"/>
            </w:pPr>
            <w:r>
              <w:t>30.8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七月</w:t>
            </w:r>
          </w:p>
        </w:tc>
        <w:tc>
          <w:tcPr>
            <w:tcW w:w="234" w:type="pct"/>
            <w:vAlign w:val="center"/>
          </w:tcPr>
          <w:p>
            <w:pPr>
              <w:pStyle w:val="52"/>
            </w:pPr>
            <w:r>
              <w:t>1.8</w:t>
            </w:r>
          </w:p>
        </w:tc>
        <w:tc>
          <w:tcPr>
            <w:tcW w:w="284" w:type="pct"/>
            <w:vAlign w:val="center"/>
          </w:tcPr>
          <w:p>
            <w:pPr>
              <w:pStyle w:val="52"/>
            </w:pPr>
            <w:r>
              <w:t>2.5</w:t>
            </w:r>
          </w:p>
        </w:tc>
        <w:tc>
          <w:tcPr>
            <w:tcW w:w="255" w:type="pct"/>
            <w:vAlign w:val="center"/>
          </w:tcPr>
          <w:p>
            <w:pPr>
              <w:pStyle w:val="52"/>
            </w:pPr>
            <w:r>
              <w:t>2.3</w:t>
            </w:r>
          </w:p>
        </w:tc>
        <w:tc>
          <w:tcPr>
            <w:tcW w:w="275" w:type="pct"/>
            <w:vAlign w:val="center"/>
          </w:tcPr>
          <w:p>
            <w:pPr>
              <w:pStyle w:val="52"/>
            </w:pPr>
            <w:r>
              <w:t>2.5</w:t>
            </w:r>
          </w:p>
        </w:tc>
        <w:tc>
          <w:tcPr>
            <w:tcW w:w="255" w:type="pct"/>
            <w:vAlign w:val="center"/>
          </w:tcPr>
          <w:p>
            <w:pPr>
              <w:pStyle w:val="52"/>
            </w:pPr>
            <w:r>
              <w:t>1.8</w:t>
            </w:r>
          </w:p>
        </w:tc>
        <w:tc>
          <w:tcPr>
            <w:tcW w:w="262" w:type="pct"/>
            <w:vAlign w:val="center"/>
          </w:tcPr>
          <w:p>
            <w:pPr>
              <w:pStyle w:val="52"/>
            </w:pPr>
            <w:r>
              <w:t>1.7</w:t>
            </w:r>
          </w:p>
        </w:tc>
        <w:tc>
          <w:tcPr>
            <w:tcW w:w="255" w:type="pct"/>
            <w:vAlign w:val="center"/>
          </w:tcPr>
          <w:p>
            <w:pPr>
              <w:pStyle w:val="52"/>
            </w:pPr>
            <w:r>
              <w:t>1.9</w:t>
            </w:r>
          </w:p>
        </w:tc>
        <w:tc>
          <w:tcPr>
            <w:tcW w:w="258" w:type="pct"/>
            <w:vAlign w:val="center"/>
          </w:tcPr>
          <w:p>
            <w:pPr>
              <w:pStyle w:val="52"/>
            </w:pPr>
            <w:r>
              <w:t>4.0</w:t>
            </w:r>
          </w:p>
        </w:tc>
        <w:tc>
          <w:tcPr>
            <w:tcW w:w="255" w:type="pct"/>
            <w:vAlign w:val="center"/>
          </w:tcPr>
          <w:p>
            <w:pPr>
              <w:pStyle w:val="52"/>
            </w:pPr>
            <w:r>
              <w:t>2.3</w:t>
            </w:r>
          </w:p>
        </w:tc>
        <w:tc>
          <w:tcPr>
            <w:tcW w:w="285" w:type="pct"/>
            <w:vAlign w:val="center"/>
          </w:tcPr>
          <w:p>
            <w:pPr>
              <w:pStyle w:val="52"/>
            </w:pPr>
            <w:r>
              <w:t>3.0</w:t>
            </w:r>
          </w:p>
        </w:tc>
        <w:tc>
          <w:tcPr>
            <w:tcW w:w="255" w:type="pct"/>
            <w:vAlign w:val="center"/>
          </w:tcPr>
          <w:p>
            <w:pPr>
              <w:pStyle w:val="52"/>
            </w:pPr>
            <w:r>
              <w:t>3.4</w:t>
            </w:r>
          </w:p>
        </w:tc>
        <w:tc>
          <w:tcPr>
            <w:tcW w:w="298" w:type="pct"/>
            <w:vAlign w:val="center"/>
          </w:tcPr>
          <w:p>
            <w:pPr>
              <w:pStyle w:val="52"/>
            </w:pPr>
            <w:r>
              <w:t>3.2</w:t>
            </w:r>
          </w:p>
        </w:tc>
        <w:tc>
          <w:tcPr>
            <w:tcW w:w="255" w:type="pct"/>
            <w:vAlign w:val="center"/>
          </w:tcPr>
          <w:p>
            <w:pPr>
              <w:pStyle w:val="52"/>
            </w:pPr>
            <w:r>
              <w:t>4.2</w:t>
            </w:r>
          </w:p>
        </w:tc>
        <w:tc>
          <w:tcPr>
            <w:tcW w:w="311" w:type="pct"/>
            <w:vAlign w:val="center"/>
          </w:tcPr>
          <w:p>
            <w:pPr>
              <w:pStyle w:val="52"/>
            </w:pPr>
            <w:r>
              <w:t>3.3</w:t>
            </w:r>
          </w:p>
        </w:tc>
        <w:tc>
          <w:tcPr>
            <w:tcW w:w="263" w:type="pct"/>
            <w:vAlign w:val="center"/>
          </w:tcPr>
          <w:p>
            <w:pPr>
              <w:pStyle w:val="52"/>
            </w:pPr>
            <w:r>
              <w:t>2.1</w:t>
            </w:r>
          </w:p>
        </w:tc>
        <w:tc>
          <w:tcPr>
            <w:tcW w:w="278" w:type="pct"/>
            <w:vAlign w:val="center"/>
          </w:tcPr>
          <w:p>
            <w:pPr>
              <w:pStyle w:val="52"/>
            </w:pPr>
            <w:r>
              <w:t>3.0</w:t>
            </w:r>
          </w:p>
        </w:tc>
        <w:tc>
          <w:tcPr>
            <w:tcW w:w="290" w:type="pct"/>
            <w:vAlign w:val="center"/>
          </w:tcPr>
          <w:p>
            <w:pPr>
              <w:pStyle w:val="52"/>
            </w:pPr>
            <w: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八月</w:t>
            </w:r>
          </w:p>
        </w:tc>
        <w:tc>
          <w:tcPr>
            <w:tcW w:w="234" w:type="pct"/>
            <w:vAlign w:val="center"/>
          </w:tcPr>
          <w:p>
            <w:pPr>
              <w:pStyle w:val="52"/>
            </w:pPr>
            <w:r>
              <w:t>1.8</w:t>
            </w:r>
          </w:p>
        </w:tc>
        <w:tc>
          <w:tcPr>
            <w:tcW w:w="284" w:type="pct"/>
            <w:vAlign w:val="center"/>
          </w:tcPr>
          <w:p>
            <w:pPr>
              <w:pStyle w:val="52"/>
            </w:pPr>
            <w:r>
              <w:t>3.0</w:t>
            </w:r>
          </w:p>
        </w:tc>
        <w:tc>
          <w:tcPr>
            <w:tcW w:w="255" w:type="pct"/>
            <w:vAlign w:val="center"/>
          </w:tcPr>
          <w:p>
            <w:pPr>
              <w:pStyle w:val="52"/>
            </w:pPr>
            <w:r>
              <w:t>2.0</w:t>
            </w:r>
          </w:p>
        </w:tc>
        <w:tc>
          <w:tcPr>
            <w:tcW w:w="275" w:type="pct"/>
            <w:vAlign w:val="center"/>
          </w:tcPr>
          <w:p>
            <w:pPr>
              <w:pStyle w:val="52"/>
            </w:pPr>
            <w:r>
              <w:t>1.9</w:t>
            </w:r>
          </w:p>
        </w:tc>
        <w:tc>
          <w:tcPr>
            <w:tcW w:w="255" w:type="pct"/>
            <w:vAlign w:val="center"/>
          </w:tcPr>
          <w:p>
            <w:pPr>
              <w:pStyle w:val="52"/>
            </w:pPr>
            <w:r>
              <w:t>1.4</w:t>
            </w:r>
          </w:p>
        </w:tc>
        <w:tc>
          <w:tcPr>
            <w:tcW w:w="262" w:type="pct"/>
            <w:vAlign w:val="center"/>
          </w:tcPr>
          <w:p>
            <w:pPr>
              <w:pStyle w:val="52"/>
            </w:pPr>
            <w:r>
              <w:t>1.8</w:t>
            </w:r>
          </w:p>
        </w:tc>
        <w:tc>
          <w:tcPr>
            <w:tcW w:w="255" w:type="pct"/>
            <w:vAlign w:val="center"/>
          </w:tcPr>
          <w:p>
            <w:pPr>
              <w:pStyle w:val="52"/>
            </w:pPr>
            <w:r>
              <w:t>1.8</w:t>
            </w:r>
          </w:p>
        </w:tc>
        <w:tc>
          <w:tcPr>
            <w:tcW w:w="258" w:type="pct"/>
            <w:vAlign w:val="center"/>
          </w:tcPr>
          <w:p>
            <w:pPr>
              <w:pStyle w:val="52"/>
            </w:pPr>
            <w:r>
              <w:t>2.4</w:t>
            </w:r>
          </w:p>
        </w:tc>
        <w:tc>
          <w:tcPr>
            <w:tcW w:w="255" w:type="pct"/>
            <w:vAlign w:val="center"/>
          </w:tcPr>
          <w:p>
            <w:pPr>
              <w:pStyle w:val="52"/>
            </w:pPr>
            <w:r>
              <w:t>3.0</w:t>
            </w:r>
          </w:p>
        </w:tc>
        <w:tc>
          <w:tcPr>
            <w:tcW w:w="285" w:type="pct"/>
            <w:vAlign w:val="center"/>
          </w:tcPr>
          <w:p>
            <w:pPr>
              <w:pStyle w:val="52"/>
            </w:pPr>
            <w:r>
              <w:t>3.4</w:t>
            </w:r>
          </w:p>
        </w:tc>
        <w:tc>
          <w:tcPr>
            <w:tcW w:w="255" w:type="pct"/>
            <w:vAlign w:val="center"/>
          </w:tcPr>
          <w:p>
            <w:pPr>
              <w:pStyle w:val="52"/>
            </w:pPr>
            <w:r>
              <w:t>2.3</w:t>
            </w:r>
          </w:p>
        </w:tc>
        <w:tc>
          <w:tcPr>
            <w:tcW w:w="298" w:type="pct"/>
            <w:vAlign w:val="center"/>
          </w:tcPr>
          <w:p>
            <w:pPr>
              <w:pStyle w:val="52"/>
            </w:pPr>
            <w:r>
              <w:t>2.3</w:t>
            </w:r>
          </w:p>
        </w:tc>
        <w:tc>
          <w:tcPr>
            <w:tcW w:w="255" w:type="pct"/>
            <w:vAlign w:val="center"/>
          </w:tcPr>
          <w:p>
            <w:pPr>
              <w:pStyle w:val="52"/>
            </w:pPr>
            <w:r>
              <w:t>1.3</w:t>
            </w:r>
          </w:p>
        </w:tc>
        <w:tc>
          <w:tcPr>
            <w:tcW w:w="311" w:type="pct"/>
            <w:vAlign w:val="center"/>
          </w:tcPr>
          <w:p>
            <w:pPr>
              <w:pStyle w:val="52"/>
            </w:pPr>
            <w:r>
              <w:t>1.8</w:t>
            </w:r>
          </w:p>
        </w:tc>
        <w:tc>
          <w:tcPr>
            <w:tcW w:w="263" w:type="pct"/>
            <w:vAlign w:val="center"/>
          </w:tcPr>
          <w:p>
            <w:pPr>
              <w:pStyle w:val="52"/>
            </w:pPr>
            <w:r>
              <w:t>3.0</w:t>
            </w:r>
          </w:p>
        </w:tc>
        <w:tc>
          <w:tcPr>
            <w:tcW w:w="278" w:type="pct"/>
            <w:vAlign w:val="center"/>
          </w:tcPr>
          <w:p>
            <w:pPr>
              <w:pStyle w:val="52"/>
            </w:pPr>
            <w:r>
              <w:t>3.0</w:t>
            </w:r>
          </w:p>
        </w:tc>
        <w:tc>
          <w:tcPr>
            <w:tcW w:w="290" w:type="pct"/>
            <w:vAlign w:val="center"/>
          </w:tcPr>
          <w:p>
            <w:pPr>
              <w:pStyle w:val="52"/>
            </w:pPr>
            <w:r>
              <w:t>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九月</w:t>
            </w:r>
          </w:p>
        </w:tc>
        <w:tc>
          <w:tcPr>
            <w:tcW w:w="234" w:type="pct"/>
            <w:vAlign w:val="center"/>
          </w:tcPr>
          <w:p>
            <w:pPr>
              <w:pStyle w:val="52"/>
            </w:pPr>
            <w:r>
              <w:t>2.0</w:t>
            </w:r>
          </w:p>
        </w:tc>
        <w:tc>
          <w:tcPr>
            <w:tcW w:w="284" w:type="pct"/>
            <w:vAlign w:val="center"/>
          </w:tcPr>
          <w:p>
            <w:pPr>
              <w:pStyle w:val="52"/>
            </w:pPr>
            <w:r>
              <w:t>2.4</w:t>
            </w:r>
          </w:p>
        </w:tc>
        <w:tc>
          <w:tcPr>
            <w:tcW w:w="255" w:type="pct"/>
            <w:vAlign w:val="center"/>
          </w:tcPr>
          <w:p>
            <w:pPr>
              <w:pStyle w:val="52"/>
            </w:pPr>
            <w:r>
              <w:t>2.7</w:t>
            </w:r>
          </w:p>
        </w:tc>
        <w:tc>
          <w:tcPr>
            <w:tcW w:w="275" w:type="pct"/>
            <w:vAlign w:val="center"/>
          </w:tcPr>
          <w:p>
            <w:pPr>
              <w:pStyle w:val="52"/>
            </w:pPr>
            <w:r>
              <w:t>1.5</w:t>
            </w:r>
          </w:p>
        </w:tc>
        <w:tc>
          <w:tcPr>
            <w:tcW w:w="255" w:type="pct"/>
            <w:vAlign w:val="center"/>
          </w:tcPr>
          <w:p>
            <w:pPr>
              <w:pStyle w:val="52"/>
            </w:pPr>
            <w:r>
              <w:t>2.4</w:t>
            </w:r>
          </w:p>
        </w:tc>
        <w:tc>
          <w:tcPr>
            <w:tcW w:w="262" w:type="pct"/>
            <w:vAlign w:val="center"/>
          </w:tcPr>
          <w:p>
            <w:pPr>
              <w:pStyle w:val="52"/>
            </w:pPr>
            <w:r>
              <w:t>2.0</w:t>
            </w:r>
          </w:p>
        </w:tc>
        <w:tc>
          <w:tcPr>
            <w:tcW w:w="255" w:type="pct"/>
            <w:vAlign w:val="center"/>
          </w:tcPr>
          <w:p>
            <w:pPr>
              <w:pStyle w:val="52"/>
            </w:pPr>
            <w:r>
              <w:t>2.1</w:t>
            </w:r>
          </w:p>
        </w:tc>
        <w:tc>
          <w:tcPr>
            <w:tcW w:w="258" w:type="pct"/>
            <w:vAlign w:val="center"/>
          </w:tcPr>
          <w:p>
            <w:pPr>
              <w:pStyle w:val="52"/>
            </w:pPr>
            <w:r>
              <w:t>3.8</w:t>
            </w:r>
          </w:p>
        </w:tc>
        <w:tc>
          <w:tcPr>
            <w:tcW w:w="255" w:type="pct"/>
            <w:vAlign w:val="center"/>
          </w:tcPr>
          <w:p>
            <w:pPr>
              <w:pStyle w:val="52"/>
            </w:pPr>
            <w:r>
              <w:t>3.7</w:t>
            </w:r>
          </w:p>
        </w:tc>
        <w:tc>
          <w:tcPr>
            <w:tcW w:w="285" w:type="pct"/>
            <w:vAlign w:val="center"/>
          </w:tcPr>
          <w:p>
            <w:pPr>
              <w:pStyle w:val="52"/>
            </w:pPr>
            <w:r>
              <w:t>3.4</w:t>
            </w:r>
          </w:p>
        </w:tc>
        <w:tc>
          <w:tcPr>
            <w:tcW w:w="255" w:type="pct"/>
            <w:vAlign w:val="center"/>
          </w:tcPr>
          <w:p>
            <w:pPr>
              <w:pStyle w:val="52"/>
            </w:pPr>
            <w:r>
              <w:t>4.0</w:t>
            </w:r>
          </w:p>
        </w:tc>
        <w:tc>
          <w:tcPr>
            <w:tcW w:w="298" w:type="pct"/>
            <w:vAlign w:val="center"/>
          </w:tcPr>
          <w:p>
            <w:pPr>
              <w:pStyle w:val="52"/>
            </w:pPr>
            <w:r>
              <w:t>3.5</w:t>
            </w:r>
          </w:p>
        </w:tc>
        <w:tc>
          <w:tcPr>
            <w:tcW w:w="255" w:type="pct"/>
            <w:vAlign w:val="center"/>
          </w:tcPr>
          <w:p>
            <w:pPr>
              <w:pStyle w:val="52"/>
            </w:pPr>
            <w:r>
              <w:t>3.1</w:t>
            </w:r>
          </w:p>
        </w:tc>
        <w:tc>
          <w:tcPr>
            <w:tcW w:w="311" w:type="pct"/>
            <w:vAlign w:val="center"/>
          </w:tcPr>
          <w:p>
            <w:pPr>
              <w:pStyle w:val="52"/>
            </w:pPr>
            <w:r>
              <w:t>4.2</w:t>
            </w:r>
          </w:p>
        </w:tc>
        <w:tc>
          <w:tcPr>
            <w:tcW w:w="263" w:type="pct"/>
            <w:vAlign w:val="center"/>
          </w:tcPr>
          <w:p>
            <w:pPr>
              <w:pStyle w:val="52"/>
            </w:pPr>
            <w:r>
              <w:t>2.0</w:t>
            </w:r>
          </w:p>
        </w:tc>
        <w:tc>
          <w:tcPr>
            <w:tcW w:w="278" w:type="pct"/>
            <w:vAlign w:val="center"/>
          </w:tcPr>
          <w:p>
            <w:pPr>
              <w:pStyle w:val="52"/>
            </w:pPr>
            <w:r>
              <w:t>3.0</w:t>
            </w:r>
          </w:p>
        </w:tc>
        <w:tc>
          <w:tcPr>
            <w:tcW w:w="290" w:type="pct"/>
            <w:vAlign w:val="center"/>
          </w:tcPr>
          <w:p>
            <w:pPr>
              <w:pStyle w:val="52"/>
            </w:pPr>
            <w:r>
              <w:t>30.8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trPr>
        <w:tc>
          <w:tcPr>
            <w:tcW w:w="432" w:type="pct"/>
            <w:vAlign w:val="center"/>
          </w:tcPr>
          <w:p>
            <w:pPr>
              <w:pStyle w:val="52"/>
            </w:pPr>
            <w:r>
              <w:t>十</w:t>
            </w:r>
          </w:p>
        </w:tc>
        <w:tc>
          <w:tcPr>
            <w:tcW w:w="234" w:type="pct"/>
            <w:vAlign w:val="center"/>
          </w:tcPr>
          <w:p>
            <w:pPr>
              <w:pStyle w:val="52"/>
            </w:pPr>
            <w:r>
              <w:t>2.4</w:t>
            </w:r>
          </w:p>
        </w:tc>
        <w:tc>
          <w:tcPr>
            <w:tcW w:w="284" w:type="pct"/>
            <w:vAlign w:val="center"/>
          </w:tcPr>
          <w:p>
            <w:pPr>
              <w:pStyle w:val="52"/>
            </w:pPr>
            <w:r>
              <w:t>2.0</w:t>
            </w:r>
          </w:p>
        </w:tc>
        <w:tc>
          <w:tcPr>
            <w:tcW w:w="255" w:type="pct"/>
            <w:vAlign w:val="center"/>
          </w:tcPr>
          <w:p>
            <w:pPr>
              <w:pStyle w:val="52"/>
            </w:pPr>
          </w:p>
        </w:tc>
        <w:tc>
          <w:tcPr>
            <w:tcW w:w="275" w:type="pct"/>
            <w:vAlign w:val="center"/>
          </w:tcPr>
          <w:p>
            <w:pPr>
              <w:pStyle w:val="52"/>
            </w:pPr>
            <w:r>
              <w:t>2.0</w:t>
            </w:r>
          </w:p>
        </w:tc>
        <w:tc>
          <w:tcPr>
            <w:tcW w:w="255" w:type="pct"/>
            <w:vAlign w:val="center"/>
          </w:tcPr>
          <w:p>
            <w:pPr>
              <w:pStyle w:val="52"/>
            </w:pPr>
            <w:r>
              <w:t>2.3</w:t>
            </w:r>
          </w:p>
        </w:tc>
        <w:tc>
          <w:tcPr>
            <w:tcW w:w="262" w:type="pct"/>
            <w:vAlign w:val="center"/>
          </w:tcPr>
          <w:p>
            <w:pPr>
              <w:pStyle w:val="52"/>
            </w:pPr>
            <w:r>
              <w:t>1.2</w:t>
            </w:r>
          </w:p>
        </w:tc>
        <w:tc>
          <w:tcPr>
            <w:tcW w:w="255" w:type="pct"/>
            <w:vAlign w:val="center"/>
          </w:tcPr>
          <w:p>
            <w:pPr>
              <w:pStyle w:val="52"/>
            </w:pPr>
            <w:r>
              <w:t>1.8</w:t>
            </w:r>
          </w:p>
        </w:tc>
        <w:tc>
          <w:tcPr>
            <w:tcW w:w="258" w:type="pct"/>
            <w:vAlign w:val="center"/>
          </w:tcPr>
          <w:p>
            <w:pPr>
              <w:pStyle w:val="52"/>
            </w:pPr>
            <w:r>
              <w:t>2.3</w:t>
            </w:r>
          </w:p>
        </w:tc>
        <w:tc>
          <w:tcPr>
            <w:tcW w:w="255" w:type="pct"/>
            <w:vAlign w:val="center"/>
          </w:tcPr>
          <w:p>
            <w:pPr>
              <w:pStyle w:val="52"/>
            </w:pPr>
            <w:r>
              <w:t>4.5</w:t>
            </w:r>
          </w:p>
        </w:tc>
        <w:tc>
          <w:tcPr>
            <w:tcW w:w="285" w:type="pct"/>
            <w:vAlign w:val="center"/>
          </w:tcPr>
          <w:p>
            <w:pPr>
              <w:pStyle w:val="52"/>
            </w:pPr>
            <w:r>
              <w:t>4.0</w:t>
            </w:r>
          </w:p>
        </w:tc>
        <w:tc>
          <w:tcPr>
            <w:tcW w:w="255" w:type="pct"/>
            <w:vAlign w:val="center"/>
          </w:tcPr>
          <w:p>
            <w:pPr>
              <w:pStyle w:val="52"/>
            </w:pPr>
            <w:r>
              <w:t>4.3</w:t>
            </w:r>
          </w:p>
        </w:tc>
        <w:tc>
          <w:tcPr>
            <w:tcW w:w="298" w:type="pct"/>
            <w:vAlign w:val="center"/>
          </w:tcPr>
          <w:p>
            <w:pPr>
              <w:pStyle w:val="52"/>
            </w:pPr>
            <w:r>
              <w:t>3.1</w:t>
            </w:r>
          </w:p>
        </w:tc>
        <w:tc>
          <w:tcPr>
            <w:tcW w:w="255" w:type="pct"/>
            <w:vAlign w:val="center"/>
          </w:tcPr>
          <w:p>
            <w:pPr>
              <w:pStyle w:val="52"/>
            </w:pPr>
            <w:r>
              <w:t>4.0</w:t>
            </w:r>
          </w:p>
        </w:tc>
        <w:tc>
          <w:tcPr>
            <w:tcW w:w="311" w:type="pct"/>
            <w:vAlign w:val="center"/>
          </w:tcPr>
          <w:p>
            <w:pPr>
              <w:pStyle w:val="52"/>
            </w:pPr>
            <w:r>
              <w:t>3.5</w:t>
            </w:r>
          </w:p>
        </w:tc>
        <w:tc>
          <w:tcPr>
            <w:tcW w:w="263" w:type="pct"/>
            <w:vAlign w:val="center"/>
          </w:tcPr>
          <w:p>
            <w:pPr>
              <w:pStyle w:val="52"/>
            </w:pPr>
            <w:r>
              <w:t>2.0</w:t>
            </w:r>
          </w:p>
        </w:tc>
        <w:tc>
          <w:tcPr>
            <w:tcW w:w="278" w:type="pct"/>
            <w:vAlign w:val="center"/>
          </w:tcPr>
          <w:p>
            <w:pPr>
              <w:pStyle w:val="52"/>
            </w:pPr>
            <w:r>
              <w:t>2.0</w:t>
            </w:r>
          </w:p>
        </w:tc>
        <w:tc>
          <w:tcPr>
            <w:tcW w:w="290" w:type="pct"/>
            <w:vAlign w:val="center"/>
          </w:tcPr>
          <w:p>
            <w:pPr>
              <w:pStyle w:val="52"/>
            </w:pPr>
            <w:r>
              <w:t>33.1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全年</w:t>
            </w:r>
          </w:p>
        </w:tc>
        <w:tc>
          <w:tcPr>
            <w:tcW w:w="234" w:type="pct"/>
            <w:vAlign w:val="center"/>
          </w:tcPr>
          <w:p>
            <w:pPr>
              <w:pStyle w:val="52"/>
            </w:pPr>
            <w:r>
              <w:t>2.5</w:t>
            </w:r>
          </w:p>
        </w:tc>
        <w:tc>
          <w:tcPr>
            <w:tcW w:w="284" w:type="pct"/>
            <w:vAlign w:val="center"/>
          </w:tcPr>
          <w:p>
            <w:pPr>
              <w:pStyle w:val="52"/>
            </w:pPr>
            <w:r>
              <w:t>3.3</w:t>
            </w:r>
          </w:p>
        </w:tc>
        <w:tc>
          <w:tcPr>
            <w:tcW w:w="255" w:type="pct"/>
            <w:vAlign w:val="center"/>
          </w:tcPr>
          <w:p>
            <w:pPr>
              <w:pStyle w:val="52"/>
            </w:pPr>
            <w:r>
              <w:t>2.2</w:t>
            </w:r>
          </w:p>
        </w:tc>
        <w:tc>
          <w:tcPr>
            <w:tcW w:w="275" w:type="pct"/>
            <w:vAlign w:val="center"/>
          </w:tcPr>
          <w:p>
            <w:pPr>
              <w:pStyle w:val="52"/>
            </w:pPr>
            <w:r>
              <w:t>2.0</w:t>
            </w:r>
          </w:p>
        </w:tc>
        <w:tc>
          <w:tcPr>
            <w:tcW w:w="255" w:type="pct"/>
            <w:vAlign w:val="center"/>
          </w:tcPr>
          <w:p>
            <w:pPr>
              <w:pStyle w:val="52"/>
            </w:pPr>
            <w:r>
              <w:t>2.2</w:t>
            </w:r>
          </w:p>
        </w:tc>
        <w:tc>
          <w:tcPr>
            <w:tcW w:w="262" w:type="pct"/>
            <w:vAlign w:val="center"/>
          </w:tcPr>
          <w:p>
            <w:pPr>
              <w:pStyle w:val="52"/>
            </w:pPr>
            <w:r>
              <w:t>2.0</w:t>
            </w:r>
          </w:p>
        </w:tc>
        <w:tc>
          <w:tcPr>
            <w:tcW w:w="255" w:type="pct"/>
            <w:vAlign w:val="center"/>
          </w:tcPr>
          <w:p>
            <w:pPr>
              <w:pStyle w:val="52"/>
            </w:pPr>
            <w:r>
              <w:t>2.1</w:t>
            </w:r>
          </w:p>
        </w:tc>
        <w:tc>
          <w:tcPr>
            <w:tcW w:w="258" w:type="pct"/>
            <w:vAlign w:val="center"/>
          </w:tcPr>
          <w:p>
            <w:pPr>
              <w:pStyle w:val="52"/>
            </w:pPr>
            <w:r>
              <w:t>3.3</w:t>
            </w:r>
          </w:p>
        </w:tc>
        <w:tc>
          <w:tcPr>
            <w:tcW w:w="255" w:type="pct"/>
            <w:vAlign w:val="center"/>
          </w:tcPr>
          <w:p>
            <w:pPr>
              <w:pStyle w:val="52"/>
            </w:pPr>
            <w:r>
              <w:t>3.3</w:t>
            </w:r>
          </w:p>
        </w:tc>
        <w:tc>
          <w:tcPr>
            <w:tcW w:w="285" w:type="pct"/>
            <w:vAlign w:val="center"/>
          </w:tcPr>
          <w:p>
            <w:pPr>
              <w:pStyle w:val="52"/>
            </w:pPr>
            <w:r>
              <w:t>3.8</w:t>
            </w:r>
          </w:p>
        </w:tc>
        <w:tc>
          <w:tcPr>
            <w:tcW w:w="255" w:type="pct"/>
            <w:vAlign w:val="center"/>
          </w:tcPr>
          <w:p>
            <w:pPr>
              <w:pStyle w:val="52"/>
            </w:pPr>
            <w:r>
              <w:t>3.7</w:t>
            </w:r>
          </w:p>
        </w:tc>
        <w:tc>
          <w:tcPr>
            <w:tcW w:w="298" w:type="pct"/>
            <w:vAlign w:val="center"/>
          </w:tcPr>
          <w:p>
            <w:pPr>
              <w:pStyle w:val="52"/>
            </w:pPr>
            <w:r>
              <w:t>4.0</w:t>
            </w:r>
          </w:p>
        </w:tc>
        <w:tc>
          <w:tcPr>
            <w:tcW w:w="255" w:type="pct"/>
            <w:vAlign w:val="center"/>
          </w:tcPr>
          <w:p>
            <w:pPr>
              <w:pStyle w:val="52"/>
            </w:pPr>
            <w:r>
              <w:t>3.6</w:t>
            </w:r>
          </w:p>
        </w:tc>
        <w:tc>
          <w:tcPr>
            <w:tcW w:w="311" w:type="pct"/>
            <w:vAlign w:val="center"/>
          </w:tcPr>
          <w:p>
            <w:pPr>
              <w:pStyle w:val="52"/>
            </w:pPr>
            <w:r>
              <w:t>3.4</w:t>
            </w:r>
          </w:p>
        </w:tc>
        <w:tc>
          <w:tcPr>
            <w:tcW w:w="263" w:type="pct"/>
            <w:vAlign w:val="center"/>
          </w:tcPr>
          <w:p>
            <w:pPr>
              <w:pStyle w:val="52"/>
            </w:pPr>
            <w:r>
              <w:t>3.0</w:t>
            </w:r>
          </w:p>
        </w:tc>
        <w:tc>
          <w:tcPr>
            <w:tcW w:w="278" w:type="pct"/>
            <w:vAlign w:val="center"/>
          </w:tcPr>
          <w:p>
            <w:pPr>
              <w:pStyle w:val="52"/>
            </w:pPr>
            <w:r>
              <w:t>2.8</w:t>
            </w:r>
          </w:p>
        </w:tc>
        <w:tc>
          <w:tcPr>
            <w:tcW w:w="290" w:type="pct"/>
            <w:vAlign w:val="center"/>
          </w:tcPr>
          <w:p>
            <w:pPr>
              <w:pStyle w:val="52"/>
            </w:pPr>
            <w:r>
              <w:t>21.9</w:t>
            </w:r>
          </w:p>
        </w:tc>
      </w:tr>
    </w:tbl>
    <w:p>
      <w:pPr>
        <w:ind w:left="0" w:leftChars="0" w:firstLine="0" w:firstLineChars="0"/>
        <w:rPr>
          <w:rFonts w:hint="eastAsia" w:ascii="Times New Roman" w:hAnsi="Times New Roman" w:eastAsia="宋体"/>
          <w:color w:val="auto"/>
          <w:highlight w:val="yellow"/>
        </w:rPr>
        <w:sectPr>
          <w:footerReference r:id="rId19"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93" w:name="_Toc20965"/>
      <w:r>
        <w:rPr>
          <w:rFonts w:hint="eastAsia" w:ascii="Times New Roman" w:hAnsi="Times New Roman" w:eastAsia="宋体"/>
          <w:b/>
          <w:bCs w:val="0"/>
          <w:color w:val="auto"/>
          <w:sz w:val="30"/>
          <w:highlight w:val="none"/>
        </w:rPr>
        <w:t>5.</w:t>
      </w:r>
      <w:r>
        <w:rPr>
          <w:rFonts w:hint="eastAsia" w:eastAsia="宋体"/>
          <w:b/>
          <w:bCs w:val="0"/>
          <w:color w:val="auto"/>
          <w:sz w:val="30"/>
          <w:highlight w:val="none"/>
          <w:lang w:val="en-US" w:eastAsia="zh-CN"/>
        </w:rPr>
        <w:t>2</w:t>
      </w:r>
      <w:r>
        <w:rPr>
          <w:rFonts w:hint="eastAsia" w:ascii="Times New Roman" w:hAnsi="Times New Roman" w:eastAsia="宋体"/>
          <w:b/>
          <w:bCs w:val="0"/>
          <w:color w:val="auto"/>
          <w:sz w:val="30"/>
          <w:highlight w:val="none"/>
        </w:rPr>
        <w:t>.2 大气环境影响分析</w:t>
      </w:r>
      <w:bookmarkEnd w:id="193"/>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.2.1 预测模式的选取及污染源强统计</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yellow"/>
        </w:rPr>
      </w:pPr>
      <w:r>
        <w:rPr>
          <w:rFonts w:hint="eastAsia" w:ascii="Times New Roman" w:hAnsi="Times New Roman" w:eastAsia="宋体"/>
          <w:color w:val="auto"/>
          <w:highlight w:val="none"/>
        </w:rPr>
        <w:t>本项目运行后产生的废气主要是</w:t>
      </w:r>
      <w:r>
        <w:rPr>
          <w:rFonts w:hint="eastAsia" w:eastAsia="宋体"/>
          <w:color w:val="auto"/>
          <w:highlight w:val="none"/>
          <w:lang w:val="en-US" w:eastAsia="zh-CN"/>
        </w:rPr>
        <w:t>露天采场原料砂装卸及堆存粉尘</w:t>
      </w: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成品砂</w:t>
      </w:r>
      <w:r>
        <w:rPr>
          <w:rFonts w:hint="eastAsia" w:ascii="Times New Roman" w:hAnsi="Times New Roman" w:eastAsia="宋体"/>
          <w:color w:val="auto"/>
          <w:highlight w:val="none"/>
          <w:lang w:val="en-US" w:eastAsia="zh-CN"/>
        </w:rPr>
        <w:t>装卸及堆存粉尘；道路运输扬尘。</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针对生产工序排放的</w:t>
      </w:r>
      <w:r>
        <w:rPr>
          <w:rFonts w:hint="eastAsia" w:ascii="Times New Roman" w:hAnsi="Times New Roman" w:eastAsia="宋体"/>
          <w:color w:val="auto"/>
          <w:highlight w:val="none"/>
          <w:lang w:val="en-US" w:eastAsia="zh-CN"/>
        </w:rPr>
        <w:t>颗粒物</w:t>
      </w:r>
      <w:r>
        <w:rPr>
          <w:rFonts w:hint="eastAsia" w:ascii="Times New Roman" w:hAnsi="Times New Roman" w:eastAsia="宋体"/>
          <w:color w:val="auto"/>
          <w:highlight w:val="none"/>
        </w:rPr>
        <w:t>对环境空气的影响，采用导则推荐的估算模式AERSCREEN进行预测，本次评价等级计算按正常工况下最不利情况考虑，将排放量最大的废气污染源相关参数列出，</w:t>
      </w:r>
      <w:r>
        <w:rPr>
          <w:rFonts w:hint="eastAsia" w:ascii="Times New Roman" w:hAnsi="Times New Roman" w:eastAsia="宋体"/>
          <w:color w:val="auto"/>
          <w:highlight w:val="none"/>
          <w:lang w:val="en-US" w:eastAsia="zh-CN"/>
        </w:rPr>
        <w:t>面源源强参数见表5.</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2</w:t>
      </w:r>
      <w:r>
        <w:rPr>
          <w:rFonts w:hint="eastAsia" w:ascii="Times New Roman" w:hAnsi="Times New Roman" w:eastAsia="宋体"/>
          <w:color w:val="auto"/>
          <w:highlight w:val="none"/>
        </w:rPr>
        <w:t>。</w:t>
      </w:r>
    </w:p>
    <w:p>
      <w:pPr>
        <w:spacing w:before="156" w:beforeLines="50" w:after="156" w:afterLines="50" w:line="360" w:lineRule="auto"/>
        <w:ind w:firstLine="0" w:firstLineChars="0"/>
        <w:jc w:val="center"/>
        <w:outlineLvl w:val="9"/>
        <w:rPr>
          <w:rFonts w:hint="eastAsia" w:ascii="Times New Roman" w:hAnsi="Times New Roman" w:eastAsia="宋体" w:cstheme="minorBidi"/>
          <w:b/>
          <w:color w:val="auto"/>
          <w:highlight w:val="none"/>
          <w:lang w:val="en-US" w:eastAsia="zh-CN"/>
        </w:rPr>
      </w:pPr>
      <w:r>
        <w:rPr>
          <w:rFonts w:hint="eastAsia" w:ascii="Times New Roman" w:hAnsi="Times New Roman" w:eastAsia="宋体" w:cstheme="minorBidi"/>
          <w:b/>
          <w:color w:val="auto"/>
          <w:highlight w:val="none"/>
          <w:lang w:val="en-US" w:eastAsia="zh-CN"/>
        </w:rPr>
        <w:t>表5.</w:t>
      </w:r>
      <w:r>
        <w:rPr>
          <w:rFonts w:hint="eastAsia" w:eastAsia="宋体" w:cstheme="minorBidi"/>
          <w:b/>
          <w:color w:val="auto"/>
          <w:highlight w:val="none"/>
          <w:lang w:val="en-US" w:eastAsia="zh-CN"/>
        </w:rPr>
        <w:t>2</w:t>
      </w:r>
      <w:r>
        <w:rPr>
          <w:rFonts w:hint="eastAsia" w:ascii="Times New Roman" w:hAnsi="Times New Roman" w:eastAsia="宋体" w:cstheme="minorBidi"/>
          <w:b/>
          <w:color w:val="auto"/>
          <w:highlight w:val="none"/>
          <w:lang w:val="en-US" w:eastAsia="zh-CN"/>
        </w:rPr>
        <w:t>-</w:t>
      </w:r>
      <w:r>
        <w:rPr>
          <w:rFonts w:hint="eastAsia" w:eastAsia="宋体" w:cstheme="minorBidi"/>
          <w:b/>
          <w:color w:val="auto"/>
          <w:highlight w:val="none"/>
          <w:lang w:val="en-US" w:eastAsia="zh-CN"/>
        </w:rPr>
        <w:t>2</w:t>
      </w:r>
      <w:r>
        <w:rPr>
          <w:rFonts w:hint="eastAsia" w:ascii="Times New Roman" w:hAnsi="Times New Roman" w:eastAsia="宋体" w:cstheme="minorBidi"/>
          <w:b/>
          <w:color w:val="auto"/>
          <w:highlight w:val="none"/>
          <w:lang w:val="en-US" w:eastAsia="zh-CN"/>
        </w:rPr>
        <w:t xml:space="preserve"> 废气污染源参数表（面源）</w:t>
      </w:r>
    </w:p>
    <w:tbl>
      <w:tblPr>
        <w:tblStyle w:val="36"/>
        <w:tblW w:w="893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5"/>
        <w:gridCol w:w="1113"/>
        <w:gridCol w:w="762"/>
        <w:gridCol w:w="725"/>
        <w:gridCol w:w="650"/>
        <w:gridCol w:w="1113"/>
        <w:gridCol w:w="850"/>
        <w:gridCol w:w="119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64"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污染源名称</w:t>
            </w:r>
          </w:p>
        </w:tc>
        <w:tc>
          <w:tcPr>
            <w:tcW w:w="2378" w:type="dxa"/>
            <w:gridSpan w:val="2"/>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左下角坐标(o)</w:t>
            </w:r>
          </w:p>
        </w:tc>
        <w:tc>
          <w:tcPr>
            <w:tcW w:w="762"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海拔高度(m)</w:t>
            </w:r>
          </w:p>
        </w:tc>
        <w:tc>
          <w:tcPr>
            <w:tcW w:w="2488" w:type="dxa"/>
            <w:gridSpan w:val="3"/>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矩形面源</w:t>
            </w:r>
          </w:p>
        </w:tc>
        <w:tc>
          <w:tcPr>
            <w:tcW w:w="850"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污染物</w:t>
            </w:r>
          </w:p>
        </w:tc>
        <w:tc>
          <w:tcPr>
            <w:tcW w:w="1190"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排放速率（kg/h）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264"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762"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长度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宽度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有效高度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850"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190"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采砂场扬尘</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112.866120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42.470589</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1144</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75</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100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w:t>
            </w:r>
            <w:r>
              <w:rPr>
                <w:rFonts w:hint="eastAsia" w:eastAsia="宋体"/>
                <w:color w:val="FF0000"/>
                <w:sz w:val="21"/>
                <w:szCs w:val="21"/>
                <w:highlight w:val="none"/>
                <w:lang w:val="en-US" w:eastAsia="zh-CN"/>
              </w:rPr>
              <w:t>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回填区扬尘</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112.863625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42.471167</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1149</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30</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20</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筛分粉尘</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112.865179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42.470539</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1142</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12</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成品堆场</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112.865720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42.470963</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1148</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66</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47</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0.000110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运输道路</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112.863259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42.469405</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1140</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200</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0.0003</w:t>
            </w:r>
            <w:r>
              <w:rPr>
                <w:rFonts w:hint="eastAsia" w:eastAsia="宋体"/>
                <w:color w:val="FF0000"/>
                <w:sz w:val="21"/>
                <w:szCs w:val="21"/>
                <w:highlight w:val="none"/>
                <w:lang w:val="en-US" w:eastAsia="zh-CN"/>
              </w:rPr>
              <w:t>28</w:t>
            </w:r>
          </w:p>
        </w:tc>
      </w:tr>
    </w:tbl>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.1.2预测因子、预测内容及预测结果</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根据本项目污染物排放特点，结合评价区域内环境现状污染特征，选取</w:t>
      </w:r>
      <w:r>
        <w:rPr>
          <w:rFonts w:hint="eastAsia" w:ascii="Times New Roman" w:hAnsi="Times New Roman" w:eastAsia="宋体"/>
          <w:color w:val="auto"/>
          <w:highlight w:val="none"/>
          <w:lang w:val="en-US" w:eastAsia="zh-CN"/>
        </w:rPr>
        <w:t>TSP</w:t>
      </w:r>
      <w:r>
        <w:rPr>
          <w:rFonts w:hint="eastAsia" w:ascii="Times New Roman" w:hAnsi="Times New Roman" w:eastAsia="宋体"/>
          <w:color w:val="auto"/>
          <w:highlight w:val="none"/>
        </w:rPr>
        <w:t>为计算因子，采用估算模式计算</w:t>
      </w:r>
      <w:r>
        <w:rPr>
          <w:rFonts w:hint="eastAsia" w:eastAsia="宋体"/>
          <w:highlight w:val="none"/>
          <w:lang w:val="en-US" w:eastAsia="zh-CN"/>
        </w:rPr>
        <w:t>采砂场</w:t>
      </w:r>
      <w:r>
        <w:rPr>
          <w:rFonts w:hint="eastAsia" w:ascii="Times New Roman" w:hAnsi="Times New Roman" w:eastAsia="宋体"/>
          <w:highlight w:val="none"/>
          <w:lang w:val="en-US" w:eastAsia="zh-CN"/>
        </w:rPr>
        <w:t>、道路运输、</w:t>
      </w:r>
      <w:r>
        <w:rPr>
          <w:rFonts w:hint="eastAsia" w:eastAsia="宋体"/>
          <w:highlight w:val="none"/>
          <w:lang w:val="en-US" w:eastAsia="zh-CN"/>
        </w:rPr>
        <w:t>成品</w:t>
      </w:r>
      <w:r>
        <w:rPr>
          <w:rFonts w:hint="eastAsia" w:ascii="Times New Roman" w:hAnsi="Times New Roman" w:eastAsia="宋体"/>
          <w:highlight w:val="none"/>
          <w:lang w:val="en-US" w:eastAsia="zh-CN"/>
        </w:rPr>
        <w:t>堆场</w:t>
      </w:r>
      <w:r>
        <w:rPr>
          <w:rFonts w:hint="eastAsia" w:ascii="Times New Roman" w:hAnsi="Times New Roman" w:eastAsia="宋体"/>
          <w:color w:val="auto"/>
          <w:highlight w:val="none"/>
        </w:rPr>
        <w:t>无组织排放</w:t>
      </w:r>
      <w:r>
        <w:rPr>
          <w:rFonts w:hint="eastAsia" w:ascii="Times New Roman" w:hAnsi="Times New Roman" w:eastAsia="宋体"/>
          <w:color w:val="auto"/>
          <w:highlight w:val="none"/>
          <w:lang w:val="en-US" w:eastAsia="zh-CN"/>
        </w:rPr>
        <w:t>颗粒物</w:t>
      </w:r>
      <w:r>
        <w:rPr>
          <w:rFonts w:hint="eastAsia" w:ascii="Times New Roman" w:hAnsi="Times New Roman" w:eastAsia="宋体"/>
          <w:color w:val="auto"/>
          <w:highlight w:val="none"/>
        </w:rPr>
        <w:t>的最大地面浓度及其占标率，以及该污染物的地面浓度达到标准限值10%时所对应的最远距离D10%进行预测，具体预测结果见表</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5.</w:t>
      </w:r>
      <w:r>
        <w:rPr>
          <w:rFonts w:hint="eastAsia" w:eastAsia="宋体"/>
          <w:color w:val="auto"/>
          <w:highlight w:val="none"/>
          <w:lang w:val="en-US" w:eastAsia="zh-CN"/>
        </w:rPr>
        <w:t>2-3</w:t>
      </w:r>
      <w:r>
        <w:rPr>
          <w:rFonts w:hint="eastAsia" w:ascii="Times New Roman" w:hAnsi="Times New Roman" w:eastAsia="宋体"/>
          <w:color w:val="auto"/>
          <w:highlight w:val="none"/>
          <w:lang w:val="en-US" w:eastAsia="zh-CN"/>
        </w:rPr>
        <w:t>至</w:t>
      </w:r>
      <w:r>
        <w:rPr>
          <w:rFonts w:hint="eastAsia" w:ascii="Times New Roman" w:hAnsi="Times New Roman" w:eastAsia="宋体"/>
          <w:color w:val="auto"/>
          <w:highlight w:val="none"/>
        </w:rPr>
        <w:t>表5.</w:t>
      </w:r>
      <w:r>
        <w:rPr>
          <w:rFonts w:hint="eastAsia" w:eastAsia="宋体"/>
          <w:color w:val="auto"/>
          <w:highlight w:val="none"/>
          <w:lang w:val="en-US" w:eastAsia="zh-CN"/>
        </w:rPr>
        <w:t>2-5</w:t>
      </w:r>
      <w:r>
        <w:rPr>
          <w:rFonts w:hint="eastAsia" w:ascii="Times New Roman" w:hAnsi="Times New Roman" w:eastAsia="宋体"/>
          <w:color w:val="auto"/>
          <w:highlight w:val="none"/>
        </w:rPr>
        <w:t>。</w:t>
      </w:r>
    </w:p>
    <w:p>
      <w:pPr>
        <w:pStyle w:val="51"/>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FF0000"/>
          <w:highlight w:val="none"/>
        </w:rPr>
      </w:pPr>
      <w:r>
        <w:rPr>
          <w:rFonts w:hint="eastAsia" w:ascii="Times New Roman" w:hAnsi="Times New Roman" w:eastAsia="宋体"/>
          <w:b/>
          <w:bCs/>
          <w:color w:val="FF0000"/>
          <w:highlight w:val="none"/>
        </w:rPr>
        <w:t>表5.</w:t>
      </w:r>
      <w:r>
        <w:rPr>
          <w:rFonts w:hint="eastAsia" w:eastAsia="宋体"/>
          <w:b/>
          <w:bCs/>
          <w:color w:val="FF0000"/>
          <w:highlight w:val="none"/>
          <w:lang w:val="en-US" w:eastAsia="zh-CN"/>
        </w:rPr>
        <w:t>2-3</w:t>
      </w:r>
      <w:r>
        <w:rPr>
          <w:rFonts w:hint="eastAsia" w:ascii="Times New Roman" w:hAnsi="Times New Roman" w:eastAsia="宋体"/>
          <w:b/>
          <w:bCs/>
          <w:color w:val="FF0000"/>
          <w:highlight w:val="none"/>
        </w:rPr>
        <w:t xml:space="preserve">   </w:t>
      </w:r>
      <w:r>
        <w:rPr>
          <w:rFonts w:hint="eastAsia" w:eastAsia="宋体"/>
          <w:b/>
          <w:bCs/>
          <w:color w:val="FF0000"/>
          <w:highlight w:val="none"/>
          <w:lang w:val="en-US" w:eastAsia="zh-CN"/>
        </w:rPr>
        <w:t>采砂场</w:t>
      </w:r>
      <w:r>
        <w:rPr>
          <w:rFonts w:hint="eastAsia" w:ascii="Times New Roman" w:hAnsi="Times New Roman" w:eastAsia="宋体"/>
          <w:b/>
          <w:bCs/>
          <w:color w:val="FF0000"/>
          <w:highlight w:val="none"/>
        </w:rPr>
        <w:t>估算模式预测结果一览表</w:t>
      </w:r>
    </w:p>
    <w:tbl>
      <w:tblPr>
        <w:tblStyle w:val="35"/>
        <w:tblW w:w="812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8"/>
        <w:gridCol w:w="2600"/>
        <w:gridCol w:w="26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17"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序号</w:t>
            </w:r>
          </w:p>
        </w:tc>
        <w:tc>
          <w:tcPr>
            <w:tcW w:w="1418"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离源距离(m)</w:t>
            </w:r>
          </w:p>
        </w:tc>
        <w:tc>
          <w:tcPr>
            <w:tcW w:w="2600"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2692"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1</w:t>
            </w:r>
          </w:p>
        </w:tc>
        <w:tc>
          <w:tcPr>
            <w:tcW w:w="1418"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1</w:t>
            </w:r>
          </w:p>
        </w:tc>
        <w:tc>
          <w:tcPr>
            <w:tcW w:w="2600"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55.78</w:t>
            </w:r>
          </w:p>
        </w:tc>
        <w:tc>
          <w:tcPr>
            <w:tcW w:w="2692"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6.20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2</w:t>
            </w:r>
          </w:p>
        </w:tc>
        <w:tc>
          <w:tcPr>
            <w:tcW w:w="1418"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50</w:t>
            </w:r>
          </w:p>
        </w:tc>
        <w:tc>
          <w:tcPr>
            <w:tcW w:w="2600"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70.85</w:t>
            </w:r>
          </w:p>
        </w:tc>
        <w:tc>
          <w:tcPr>
            <w:tcW w:w="2692"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7.87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eastAsia="zh-CN"/>
              </w:rPr>
            </w:pPr>
            <w:r>
              <w:rPr>
                <w:rFonts w:hint="eastAsia" w:ascii="Times New Roman" w:hAnsi="Times New Roman"/>
                <w:color w:val="FF0000"/>
                <w:sz w:val="21"/>
                <w:szCs w:val="21"/>
                <w:highlight w:val="none"/>
                <w:lang w:val="en-US" w:eastAsia="zh-CN"/>
              </w:rPr>
              <w:t>3</w:t>
            </w:r>
          </w:p>
        </w:tc>
        <w:tc>
          <w:tcPr>
            <w:tcW w:w="141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olor w:val="FF0000"/>
                <w:sz w:val="21"/>
                <w:szCs w:val="21"/>
                <w:highlight w:val="none"/>
                <w:lang w:val="en-US" w:eastAsia="zh-CN"/>
              </w:rPr>
              <w:t>61</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73.63</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8.18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s="宋体"/>
                <w:b w:val="0"/>
                <w:bCs/>
                <w:color w:val="FF0000"/>
                <w:sz w:val="21"/>
                <w:szCs w:val="21"/>
                <w:highlight w:val="none"/>
                <w:lang w:eastAsia="zh-CN"/>
              </w:rPr>
            </w:pPr>
            <w:r>
              <w:rPr>
                <w:rFonts w:hint="eastAsia" w:ascii="Times New Roman" w:hAnsi="Times New Roman"/>
                <w:b w:val="0"/>
                <w:bCs/>
                <w:color w:val="FF0000"/>
                <w:sz w:val="21"/>
                <w:szCs w:val="21"/>
                <w:highlight w:val="none"/>
                <w:lang w:val="en-US" w:eastAsia="zh-CN"/>
              </w:rPr>
              <w:t>4</w:t>
            </w:r>
          </w:p>
        </w:tc>
        <w:tc>
          <w:tcPr>
            <w:tcW w:w="1418" w:type="dxa"/>
            <w:tcBorders>
              <w:tl2br w:val="nil"/>
              <w:tr2bl w:val="nil"/>
            </w:tcBorders>
            <w:shd w:val="clear" w:color="auto" w:fill="auto"/>
            <w:vAlign w:val="center"/>
          </w:tcPr>
          <w:p>
            <w:pPr>
              <w:pStyle w:val="52"/>
              <w:rPr>
                <w:rFonts w:ascii="Times New Roman" w:hAnsi="Times New Roman" w:eastAsia="宋体" w:cs="宋体"/>
                <w:b w:val="0"/>
                <w:bCs/>
                <w:color w:val="FF0000"/>
                <w:sz w:val="21"/>
                <w:szCs w:val="21"/>
                <w:highlight w:val="none"/>
              </w:rPr>
            </w:pPr>
            <w:r>
              <w:rPr>
                <w:rFonts w:hint="eastAsia" w:ascii="Times New Roman" w:hAnsi="Times New Roman" w:eastAsia="宋体"/>
                <w:b w:val="0"/>
                <w:bCs/>
                <w:color w:val="FF0000"/>
                <w:sz w:val="21"/>
                <w:szCs w:val="21"/>
                <w:highlight w:val="none"/>
              </w:rPr>
              <w:t>100</w:t>
            </w:r>
          </w:p>
        </w:tc>
        <w:tc>
          <w:tcPr>
            <w:tcW w:w="2600"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35.33</w:t>
            </w:r>
          </w:p>
        </w:tc>
        <w:tc>
          <w:tcPr>
            <w:tcW w:w="2692"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3.92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5</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19.58</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6</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14.07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1.56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7</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11.02</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1.22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8</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9.07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9</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600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7.75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10</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700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6.71</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0.75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11</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800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5.89</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12</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900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5.22</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13</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4.66</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14</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1200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3.81</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15</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1400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3.18</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16</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1600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2.72</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17</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1800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2.35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18</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2.07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19</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1.67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20</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1.30</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21</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1.05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22</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0.88</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23</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0.75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24</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0.65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w:t>
            </w:r>
          </w:p>
        </w:tc>
        <w:tc>
          <w:tcPr>
            <w:tcW w:w="2600"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73.63</w:t>
            </w:r>
          </w:p>
        </w:tc>
        <w:tc>
          <w:tcPr>
            <w:tcW w:w="2692"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8.18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下风向最大浓度出现距离</w:t>
            </w:r>
          </w:p>
        </w:tc>
        <w:tc>
          <w:tcPr>
            <w:tcW w:w="2600"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61</w:t>
            </w:r>
          </w:p>
        </w:tc>
        <w:tc>
          <w:tcPr>
            <w:tcW w:w="2692"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D10%最远距离</w:t>
            </w:r>
          </w:p>
        </w:tc>
        <w:tc>
          <w:tcPr>
            <w:tcW w:w="2600"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2692"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r>
    </w:tbl>
    <w:p>
      <w:pPr>
        <w:pStyle w:val="51"/>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rPr>
        <w:t>表5.</w:t>
      </w:r>
      <w:r>
        <w:rPr>
          <w:rFonts w:hint="eastAsia" w:eastAsia="宋体"/>
          <w:b/>
          <w:bCs/>
          <w:color w:val="auto"/>
          <w:highlight w:val="none"/>
          <w:lang w:val="en-US" w:eastAsia="zh-CN"/>
        </w:rPr>
        <w:t>2-4</w:t>
      </w:r>
      <w:r>
        <w:rPr>
          <w:rFonts w:hint="eastAsia" w:ascii="Times New Roman" w:hAnsi="Times New Roman" w:eastAsia="宋体"/>
          <w:b/>
          <w:bCs/>
          <w:color w:val="auto"/>
          <w:highlight w:val="none"/>
        </w:rPr>
        <w:t xml:space="preserve">   </w:t>
      </w:r>
      <w:r>
        <w:rPr>
          <w:rFonts w:hint="eastAsia" w:ascii="Times New Roman" w:hAnsi="Times New Roman" w:eastAsia="宋体"/>
          <w:b/>
          <w:bCs/>
          <w:color w:val="auto"/>
          <w:highlight w:val="none"/>
          <w:lang w:val="en-US" w:eastAsia="zh-CN"/>
        </w:rPr>
        <w:t>运输道路和</w:t>
      </w:r>
      <w:r>
        <w:rPr>
          <w:rFonts w:hint="eastAsia" w:eastAsia="宋体"/>
          <w:b/>
          <w:bCs/>
          <w:color w:val="auto"/>
          <w:highlight w:val="none"/>
          <w:lang w:val="en-US" w:eastAsia="zh-CN"/>
        </w:rPr>
        <w:t>成品</w:t>
      </w:r>
      <w:r>
        <w:rPr>
          <w:rFonts w:hint="eastAsia" w:ascii="Times New Roman" w:hAnsi="Times New Roman" w:eastAsia="宋体"/>
          <w:b/>
          <w:bCs/>
          <w:color w:val="auto"/>
          <w:highlight w:val="none"/>
          <w:lang w:val="en-US" w:eastAsia="zh-CN"/>
        </w:rPr>
        <w:t>堆场</w:t>
      </w:r>
      <w:r>
        <w:rPr>
          <w:rFonts w:hint="eastAsia" w:ascii="Times New Roman" w:hAnsi="Times New Roman" w:eastAsia="宋体"/>
          <w:b/>
          <w:bCs/>
          <w:color w:val="auto"/>
          <w:highlight w:val="none"/>
        </w:rPr>
        <w:t>估算模式预测结果一览表</w:t>
      </w:r>
    </w:p>
    <w:tbl>
      <w:tblPr>
        <w:tblStyle w:val="35"/>
        <w:tblW w:w="823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32"/>
        <w:gridCol w:w="1488"/>
        <w:gridCol w:w="1337"/>
        <w:gridCol w:w="968"/>
        <w:gridCol w:w="1386"/>
        <w:gridCol w:w="13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38" w:type="dxa"/>
            <w:vMerge w:val="restart"/>
            <w:tcBorders>
              <w:tl2br w:val="nil"/>
              <w:tr2bl w:val="nil"/>
            </w:tcBorders>
            <w:shd w:val="clear" w:color="auto" w:fill="auto"/>
            <w:vAlign w:val="center"/>
          </w:tcPr>
          <w:p>
            <w:pPr>
              <w:pStyle w:val="5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032" w:type="dxa"/>
            <w:vMerge w:val="restart"/>
            <w:tcBorders>
              <w:tl2br w:val="nil"/>
              <w:tr2bl w:val="nil"/>
            </w:tcBorders>
            <w:shd w:val="clear" w:color="auto" w:fill="auto"/>
            <w:vAlign w:val="center"/>
          </w:tcPr>
          <w:p>
            <w:pPr>
              <w:pStyle w:val="5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离源距离(m)</w:t>
            </w:r>
          </w:p>
        </w:tc>
        <w:tc>
          <w:tcPr>
            <w:tcW w:w="2825" w:type="dxa"/>
            <w:gridSpan w:val="2"/>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运输道路</w:t>
            </w:r>
          </w:p>
        </w:tc>
        <w:tc>
          <w:tcPr>
            <w:tcW w:w="968" w:type="dxa"/>
            <w:vMerge w:val="restart"/>
            <w:tcBorders>
              <w:tl2br w:val="nil"/>
              <w:tr2bl w:val="nil"/>
            </w:tcBorders>
            <w:shd w:val="clear" w:color="auto" w:fill="auto"/>
            <w:vAlign w:val="center"/>
          </w:tcPr>
          <w:p>
            <w:pPr>
              <w:pStyle w:val="52"/>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rPr>
              <w:t>离源距离(m)</w:t>
            </w:r>
          </w:p>
        </w:tc>
        <w:tc>
          <w:tcPr>
            <w:tcW w:w="2774"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成品</w:t>
            </w:r>
            <w:r>
              <w:rPr>
                <w:rFonts w:hint="eastAsia" w:ascii="Times New Roman" w:hAnsi="Times New Roman"/>
                <w:color w:val="auto"/>
                <w:sz w:val="21"/>
                <w:szCs w:val="21"/>
                <w:highlight w:val="none"/>
                <w:lang w:val="en-US" w:eastAsia="zh-CN"/>
              </w:rPr>
              <w:t>堆场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38" w:type="dxa"/>
            <w:vMerge w:val="continue"/>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rPr>
            </w:pPr>
          </w:p>
        </w:tc>
        <w:tc>
          <w:tcPr>
            <w:tcW w:w="1032" w:type="dxa"/>
            <w:vMerge w:val="continue"/>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rPr>
            </w:pPr>
          </w:p>
        </w:tc>
        <w:tc>
          <w:tcPr>
            <w:tcW w:w="1488"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133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c>
          <w:tcPr>
            <w:tcW w:w="968" w:type="dxa"/>
            <w:vMerge w:val="continue"/>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lang w:val="en-US" w:eastAsia="zh-CN"/>
              </w:rPr>
            </w:pPr>
          </w:p>
        </w:tc>
        <w:tc>
          <w:tcPr>
            <w:tcW w:w="1386" w:type="dxa"/>
            <w:tcBorders>
              <w:tl2br w:val="nil"/>
              <w:tr2bl w:val="nil"/>
            </w:tcBorders>
            <w:shd w:val="clear" w:color="auto" w:fill="auto"/>
            <w:vAlign w:val="center"/>
          </w:tcPr>
          <w:p>
            <w:pPr>
              <w:pStyle w:val="52"/>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TSP</w:t>
            </w:r>
            <w:r>
              <w:rPr>
                <w:rFonts w:hint="eastAsia" w:ascii="Times New Roman" w:hAnsi="Times New Roman" w:eastAsia="宋体"/>
                <w:color w:val="auto"/>
                <w:sz w:val="21"/>
                <w:szCs w:val="21"/>
                <w:highlight w:val="none"/>
              </w:rPr>
              <w:t>预测浓度</w:t>
            </w:r>
            <w:r>
              <w:rPr>
                <w:rFonts w:ascii="Times New Roman" w:hAnsi="Times New Roman" w:eastAsia="宋体"/>
                <w:color w:val="auto"/>
                <w:sz w:val="21"/>
                <w:szCs w:val="21"/>
                <w:highlight w:val="none"/>
              </w:rPr>
              <w:t>(</w:t>
            </w:r>
            <w:r>
              <w:rPr>
                <w:rFonts w:hint="default" w:ascii="Times New Roman" w:hAnsi="Times New Roman" w:cs="Times New Roman"/>
                <w:color w:val="auto"/>
                <w:sz w:val="21"/>
                <w:szCs w:val="21"/>
                <w:highlight w:val="none"/>
                <w:lang w:val="en-US" w:eastAsia="zh-CN"/>
              </w:rPr>
              <w:t>μ</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r>
              <w:rPr>
                <w:rFonts w:ascii="Times New Roman" w:hAnsi="Times New Roman" w:eastAsia="宋体"/>
                <w:color w:val="auto"/>
                <w:sz w:val="21"/>
                <w:szCs w:val="21"/>
                <w:highlight w:val="none"/>
              </w:rPr>
              <w:t>)</w:t>
            </w:r>
          </w:p>
        </w:tc>
        <w:tc>
          <w:tcPr>
            <w:tcW w:w="1388" w:type="dxa"/>
            <w:tcBorders>
              <w:tl2br w:val="nil"/>
              <w:tr2bl w:val="nil"/>
            </w:tcBorders>
            <w:shd w:val="clear" w:color="auto" w:fill="auto"/>
            <w:vAlign w:val="center"/>
          </w:tcPr>
          <w:p>
            <w:pPr>
              <w:pStyle w:val="52"/>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TSP</w:t>
            </w:r>
            <w:r>
              <w:rPr>
                <w:rFonts w:hint="eastAsia" w:ascii="Times New Roman" w:hAnsi="Times New Roman" w:eastAsia="宋体"/>
                <w:color w:val="auto"/>
                <w:sz w:val="21"/>
                <w:szCs w:val="21"/>
                <w:highlight w:val="none"/>
              </w:rPr>
              <w:t>浓度占标率</w:t>
            </w:r>
            <w:r>
              <w:rPr>
                <w:rFonts w:ascii="Times New Roman" w:hAnsi="Times New Roman" w:eastAsia="宋体"/>
                <w:color w:val="auto"/>
                <w:sz w:val="21"/>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52.10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5.788</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6.13</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1032" w:type="dxa"/>
            <w:tcBorders>
              <w:tl2br w:val="nil"/>
              <w:tr2bl w:val="nil"/>
            </w:tcBorders>
            <w:shd w:val="clear" w:color="auto" w:fill="auto"/>
            <w:vAlign w:val="center"/>
          </w:tcPr>
          <w:p>
            <w:pPr>
              <w:pStyle w:val="52"/>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100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58.48</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6.498</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b w:val="0"/>
                <w:sz w:val="21"/>
                <w:szCs w:val="21"/>
                <w:highlight w:val="none"/>
                <w:lang w:val="en-US" w:eastAsia="zh-CN"/>
              </w:rPr>
              <w:t>39</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8.14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b w:val="0"/>
                <w:bCs/>
                <w:color w:val="auto"/>
                <w:sz w:val="21"/>
                <w:szCs w:val="21"/>
                <w:highlight w:val="none"/>
                <w:lang w:eastAsia="zh-CN"/>
              </w:rPr>
            </w:pPr>
            <w:r>
              <w:rPr>
                <w:rFonts w:hint="eastAsia" w:ascii="Times New Roman" w:hAnsi="Times New Roman"/>
                <w:b w:val="0"/>
                <w:bCs/>
                <w:color w:val="auto"/>
                <w:sz w:val="21"/>
                <w:szCs w:val="21"/>
                <w:highlight w:val="none"/>
                <w:lang w:val="en-US" w:eastAsia="zh-CN"/>
              </w:rPr>
              <w:t>3</w:t>
            </w:r>
          </w:p>
        </w:tc>
        <w:tc>
          <w:tcPr>
            <w:tcW w:w="1032" w:type="dxa"/>
            <w:tcBorders>
              <w:tl2br w:val="nil"/>
              <w:tr2bl w:val="nil"/>
            </w:tcBorders>
            <w:shd w:val="clear" w:color="auto" w:fill="auto"/>
            <w:vAlign w:val="center"/>
          </w:tcPr>
          <w:p>
            <w:pPr>
              <w:pStyle w:val="52"/>
              <w:rPr>
                <w:rFonts w:ascii="Times New Roman" w:hAnsi="Times New Roman" w:eastAsia="宋体" w:cs="宋体"/>
                <w:b w:val="0"/>
                <w:bCs/>
                <w:color w:val="auto"/>
                <w:sz w:val="21"/>
                <w:szCs w:val="21"/>
                <w:highlight w:val="none"/>
              </w:rPr>
            </w:pPr>
            <w:r>
              <w:rPr>
                <w:rFonts w:hint="eastAsia" w:ascii="Times New Roman" w:hAnsi="Times New Roman"/>
                <w:color w:val="auto"/>
                <w:sz w:val="21"/>
                <w:szCs w:val="21"/>
                <w:highlight w:val="none"/>
                <w:lang w:val="en-US" w:eastAsia="zh-CN"/>
              </w:rPr>
              <w:t>10</w:t>
            </w:r>
            <w:r>
              <w:rPr>
                <w:rFonts w:hint="eastAsia"/>
                <w:color w:val="auto"/>
                <w:sz w:val="21"/>
                <w:szCs w:val="21"/>
                <w:highlight w:val="none"/>
                <w:lang w:val="en-US" w:eastAsia="zh-CN"/>
              </w:rPr>
              <w:t>1</w:t>
            </w:r>
          </w:p>
        </w:tc>
        <w:tc>
          <w:tcPr>
            <w:tcW w:w="1488"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58.53</w:t>
            </w:r>
          </w:p>
        </w:tc>
        <w:tc>
          <w:tcPr>
            <w:tcW w:w="1337"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6.503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100</w:t>
            </w:r>
          </w:p>
        </w:tc>
        <w:tc>
          <w:tcPr>
            <w:tcW w:w="1386" w:type="dxa"/>
            <w:tcBorders>
              <w:tl2br w:val="nil"/>
              <w:tr2bl w:val="nil"/>
            </w:tcBorders>
            <w:shd w:val="clear" w:color="auto" w:fill="auto"/>
            <w:vAlign w:val="center"/>
          </w:tcPr>
          <w:p>
            <w:pPr>
              <w:pStyle w:val="52"/>
              <w:rPr>
                <w:rFonts w:hint="default" w:ascii="Times New Roman" w:hAnsi="Times New Roman" w:cs="宋体"/>
                <w:b w:val="0"/>
                <w:bCs/>
                <w:color w:val="auto"/>
                <w:sz w:val="21"/>
                <w:szCs w:val="21"/>
                <w:highlight w:val="none"/>
                <w:lang w:val="en-US" w:eastAsia="zh-CN"/>
              </w:rPr>
            </w:pPr>
            <w:r>
              <w:rPr>
                <w:rFonts w:hint="eastAsia" w:cs="宋体"/>
                <w:b w:val="0"/>
                <w:bCs/>
                <w:color w:val="auto"/>
                <w:sz w:val="21"/>
                <w:szCs w:val="21"/>
                <w:highlight w:val="none"/>
                <w:lang w:val="en-US" w:eastAsia="zh-CN"/>
              </w:rPr>
              <w:t>2.74</w:t>
            </w:r>
          </w:p>
        </w:tc>
        <w:tc>
          <w:tcPr>
            <w:tcW w:w="1388" w:type="dxa"/>
            <w:tcBorders>
              <w:tl2br w:val="nil"/>
              <w:tr2bl w:val="nil"/>
            </w:tcBorders>
            <w:shd w:val="clear" w:color="auto" w:fill="auto"/>
            <w:vAlign w:val="center"/>
          </w:tcPr>
          <w:p>
            <w:pPr>
              <w:pStyle w:val="52"/>
              <w:rPr>
                <w:rFonts w:hint="default" w:ascii="Times New Roman" w:hAnsi="Times New Roman" w:cs="宋体"/>
                <w:b w:val="0"/>
                <w:bCs/>
                <w:color w:val="auto"/>
                <w:sz w:val="21"/>
                <w:szCs w:val="21"/>
                <w:highlight w:val="none"/>
                <w:lang w:val="en-US" w:eastAsia="zh-CN"/>
              </w:rPr>
            </w:pPr>
            <w:r>
              <w:rPr>
                <w:rFonts w:hint="eastAsia" w:cs="宋体"/>
                <w:b w:val="0"/>
                <w:bCs/>
                <w:color w:val="auto"/>
                <w:sz w:val="21"/>
                <w:szCs w:val="21"/>
                <w:highlight w:val="none"/>
                <w:lang w:val="en-US" w:eastAsia="zh-CN"/>
              </w:rPr>
              <w:t>0.30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4</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b w:val="0"/>
                <w:bCs/>
                <w:color w:val="auto"/>
                <w:sz w:val="21"/>
                <w:szCs w:val="21"/>
                <w:highlight w:val="none"/>
                <w:lang w:val="en-US" w:eastAsia="zh-CN"/>
              </w:rPr>
              <w:t>2</w:t>
            </w:r>
            <w:r>
              <w:rPr>
                <w:rFonts w:hint="eastAsia" w:ascii="Times New Roman" w:hAnsi="Times New Roman" w:eastAsia="宋体"/>
                <w:b w:val="0"/>
                <w:bCs/>
                <w:color w:val="auto"/>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9.73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1.081</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1.54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5</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color w:val="auto"/>
                <w:sz w:val="21"/>
                <w:szCs w:val="21"/>
                <w:highlight w:val="none"/>
                <w:lang w:val="en-US" w:eastAsia="zh-CN"/>
              </w:rPr>
              <w:t>3</w:t>
            </w:r>
            <w:r>
              <w:rPr>
                <w:rFonts w:hint="eastAsia" w:ascii="Times New Roman" w:hAnsi="Times New Roman" w:eastAsia="宋体"/>
                <w:color w:val="auto"/>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5.22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0.580</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300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1.09</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6</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r>
              <w:rPr>
                <w:rFonts w:hint="eastAsia" w:ascii="Times New Roman" w:hAnsi="Times New Roman" w:eastAsia="宋体"/>
                <w:color w:val="auto"/>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3.44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0.383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400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0.83</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7</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2.47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0.275</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500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0.66</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8</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1.93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0.214</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600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0.54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9</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700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1.56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0.173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700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0.45</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10</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1.30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0.145</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800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0.38</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11</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900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1.11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0.123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900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0.33</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12</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0.96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0.106</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0.29</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13</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1200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0.75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0.083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0.23</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14</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1400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0.61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0.067</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1400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0.20</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15</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0.056</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1600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0.17</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16</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0.43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0.048</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1800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17</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2000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0.041</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2000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0.12</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18</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2500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0.030</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2500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0.09</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19</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3000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0.024</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3000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0.07</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20</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3500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0.019</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3500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0.06</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21</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4000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0.016</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4000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0.05</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22</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4500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0.014</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4500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23</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5000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0.012</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5000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下风向最大浓度</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58.53</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6.50</w:t>
            </w:r>
          </w:p>
        </w:tc>
        <w:tc>
          <w:tcPr>
            <w:tcW w:w="968" w:type="dxa"/>
            <w:tcBorders>
              <w:tl2br w:val="nil"/>
              <w:tr2bl w:val="nil"/>
            </w:tcBorders>
            <w:shd w:val="clear" w:color="auto" w:fill="auto"/>
            <w:vAlign w:val="center"/>
          </w:tcPr>
          <w:p>
            <w:pPr>
              <w:pStyle w:val="52"/>
              <w:rPr>
                <w:rFonts w:ascii="Times New Roman" w:hAnsi="Times New Roman" w:eastAsia="宋体"/>
                <w:b w:val="0"/>
                <w:sz w:val="21"/>
                <w:szCs w:val="21"/>
                <w:highlight w:val="none"/>
              </w:rPr>
            </w:pPr>
            <w:r>
              <w:rPr>
                <w:rFonts w:hint="eastAsia" w:ascii="Times New Roman" w:hAnsi="Times New Roman"/>
                <w:color w:val="auto"/>
                <w:sz w:val="21"/>
                <w:szCs w:val="21"/>
                <w:highlight w:val="none"/>
                <w:lang w:val="en-US" w:eastAsia="zh-CN"/>
              </w:rPr>
              <w:t>下风向最大浓度</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8.14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下风向最大浓度出现距离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101</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101</w:t>
            </w:r>
          </w:p>
        </w:tc>
        <w:tc>
          <w:tcPr>
            <w:tcW w:w="968" w:type="dxa"/>
            <w:tcBorders>
              <w:tl2br w:val="nil"/>
              <w:tr2bl w:val="nil"/>
            </w:tcBorders>
            <w:shd w:val="clear" w:color="auto" w:fill="auto"/>
            <w:vAlign w:val="center"/>
          </w:tcPr>
          <w:p>
            <w:pPr>
              <w:pStyle w:val="52"/>
              <w:rPr>
                <w:rFonts w:hint="eastAsia" w:ascii="Times New Roman" w:hAnsi="Times New Roman"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下风向最大浓度出现距离</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39</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39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D10%最远距离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968" w:type="dxa"/>
            <w:tcBorders>
              <w:tl2br w:val="nil"/>
              <w:tr2bl w:val="nil"/>
            </w:tcBorders>
            <w:shd w:val="clear" w:color="auto" w:fill="auto"/>
            <w:vAlign w:val="center"/>
          </w:tcPr>
          <w:p>
            <w:pPr>
              <w:pStyle w:val="52"/>
              <w:rPr>
                <w:rFonts w:hint="eastAsia" w:ascii="Times New Roman" w:hAnsi="Times New Roman"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D10%最远距离</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w:t>
            </w:r>
          </w:p>
        </w:tc>
      </w:tr>
    </w:tbl>
    <w:p>
      <w:pPr>
        <w:pStyle w:val="51"/>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FF0000"/>
          <w:highlight w:val="none"/>
        </w:rPr>
      </w:pPr>
      <w:r>
        <w:rPr>
          <w:rFonts w:hint="eastAsia" w:ascii="Times New Roman" w:hAnsi="Times New Roman" w:eastAsia="宋体"/>
          <w:b/>
          <w:bCs/>
          <w:color w:val="FF0000"/>
          <w:highlight w:val="none"/>
        </w:rPr>
        <w:t>表5.</w:t>
      </w:r>
      <w:r>
        <w:rPr>
          <w:rFonts w:hint="eastAsia" w:eastAsia="宋体"/>
          <w:b/>
          <w:bCs/>
          <w:color w:val="FF0000"/>
          <w:highlight w:val="none"/>
          <w:lang w:val="en-US" w:eastAsia="zh-CN"/>
        </w:rPr>
        <w:t>2-5</w:t>
      </w:r>
      <w:r>
        <w:rPr>
          <w:rFonts w:hint="eastAsia" w:ascii="Times New Roman" w:hAnsi="Times New Roman" w:eastAsia="宋体"/>
          <w:b/>
          <w:bCs/>
          <w:color w:val="FF0000"/>
          <w:highlight w:val="none"/>
        </w:rPr>
        <w:t xml:space="preserve">  </w:t>
      </w:r>
      <w:r>
        <w:rPr>
          <w:rFonts w:hint="eastAsia" w:eastAsia="宋体"/>
          <w:b/>
          <w:bCs/>
          <w:color w:val="FF0000"/>
          <w:highlight w:val="none"/>
          <w:lang w:val="en-US" w:eastAsia="zh-CN"/>
        </w:rPr>
        <w:t>回填作业面</w:t>
      </w:r>
      <w:r>
        <w:rPr>
          <w:rFonts w:hint="eastAsia" w:ascii="Times New Roman" w:hAnsi="Times New Roman" w:eastAsia="宋体"/>
          <w:b/>
          <w:bCs/>
          <w:color w:val="FF0000"/>
          <w:highlight w:val="none"/>
          <w:lang w:val="en-US" w:eastAsia="zh-CN"/>
        </w:rPr>
        <w:t>和</w:t>
      </w:r>
      <w:r>
        <w:rPr>
          <w:rFonts w:hint="eastAsia" w:eastAsia="宋体"/>
          <w:b/>
          <w:bCs/>
          <w:color w:val="FF0000"/>
          <w:highlight w:val="none"/>
          <w:lang w:val="en-US" w:eastAsia="zh-CN"/>
        </w:rPr>
        <w:t>筛分工序</w:t>
      </w:r>
      <w:r>
        <w:rPr>
          <w:rFonts w:hint="eastAsia" w:ascii="Times New Roman" w:hAnsi="Times New Roman" w:eastAsia="宋体"/>
          <w:b/>
          <w:bCs/>
          <w:color w:val="FF0000"/>
          <w:highlight w:val="none"/>
        </w:rPr>
        <w:t>估算模式预测结果一览表</w:t>
      </w:r>
    </w:p>
    <w:tbl>
      <w:tblPr>
        <w:tblStyle w:val="35"/>
        <w:tblW w:w="823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32"/>
        <w:gridCol w:w="1488"/>
        <w:gridCol w:w="1337"/>
        <w:gridCol w:w="968"/>
        <w:gridCol w:w="1386"/>
        <w:gridCol w:w="13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38" w:type="dxa"/>
            <w:vMerge w:val="restart"/>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序号</w:t>
            </w:r>
          </w:p>
        </w:tc>
        <w:tc>
          <w:tcPr>
            <w:tcW w:w="1032" w:type="dxa"/>
            <w:vMerge w:val="restart"/>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离源距离(m)</w:t>
            </w:r>
          </w:p>
        </w:tc>
        <w:tc>
          <w:tcPr>
            <w:tcW w:w="2825" w:type="dxa"/>
            <w:gridSpan w:val="2"/>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回填作业面</w:t>
            </w:r>
          </w:p>
        </w:tc>
        <w:tc>
          <w:tcPr>
            <w:tcW w:w="968" w:type="dxa"/>
            <w:vMerge w:val="restart"/>
            <w:tcBorders>
              <w:tl2br w:val="nil"/>
              <w:tr2bl w:val="nil"/>
            </w:tcBorders>
            <w:shd w:val="clear" w:color="auto" w:fill="auto"/>
            <w:vAlign w:val="center"/>
          </w:tcPr>
          <w:p>
            <w:pPr>
              <w:pStyle w:val="52"/>
              <w:rPr>
                <w:rFonts w:hint="eastAsia" w:ascii="Times New Roman" w:hAnsi="Times New Roman"/>
                <w:color w:val="FF0000"/>
                <w:sz w:val="21"/>
                <w:szCs w:val="21"/>
                <w:highlight w:val="none"/>
                <w:lang w:val="en-US" w:eastAsia="zh-CN"/>
              </w:rPr>
            </w:pPr>
            <w:r>
              <w:rPr>
                <w:rFonts w:hint="eastAsia" w:ascii="Times New Roman" w:hAnsi="Times New Roman" w:eastAsia="宋体"/>
                <w:color w:val="FF0000"/>
                <w:sz w:val="21"/>
                <w:szCs w:val="21"/>
                <w:highlight w:val="none"/>
              </w:rPr>
              <w:t>离源距离(m)</w:t>
            </w:r>
          </w:p>
        </w:tc>
        <w:tc>
          <w:tcPr>
            <w:tcW w:w="2774"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筛分工序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38" w:type="dxa"/>
            <w:vMerge w:val="continue"/>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rPr>
            </w:pPr>
          </w:p>
        </w:tc>
        <w:tc>
          <w:tcPr>
            <w:tcW w:w="1032" w:type="dxa"/>
            <w:vMerge w:val="continue"/>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rPr>
            </w:pPr>
          </w:p>
        </w:tc>
        <w:tc>
          <w:tcPr>
            <w:tcW w:w="1488"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133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c>
          <w:tcPr>
            <w:tcW w:w="968" w:type="dxa"/>
            <w:vMerge w:val="continue"/>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p>
        </w:tc>
        <w:tc>
          <w:tcPr>
            <w:tcW w:w="1386" w:type="dxa"/>
            <w:tcBorders>
              <w:tl2br w:val="nil"/>
              <w:tr2bl w:val="nil"/>
            </w:tcBorders>
            <w:shd w:val="clear" w:color="auto" w:fill="auto"/>
            <w:vAlign w:val="center"/>
          </w:tcPr>
          <w:p>
            <w:pPr>
              <w:pStyle w:val="52"/>
              <w:rPr>
                <w:rFonts w:hint="eastAsia" w:ascii="Times New Roman" w:hAnsi="Times New Roman"/>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1388" w:type="dxa"/>
            <w:tcBorders>
              <w:tl2br w:val="nil"/>
              <w:tr2bl w:val="nil"/>
            </w:tcBorders>
            <w:shd w:val="clear" w:color="auto" w:fill="auto"/>
            <w:vAlign w:val="center"/>
          </w:tcPr>
          <w:p>
            <w:pPr>
              <w:pStyle w:val="52"/>
              <w:rPr>
                <w:rFonts w:hint="eastAsia" w:ascii="Times New Roman" w:hAnsi="Times New Roman"/>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1</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0.0034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51.934</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5.7704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2</w:t>
            </w:r>
          </w:p>
        </w:tc>
        <w:tc>
          <w:tcPr>
            <w:tcW w:w="1032" w:type="dxa"/>
            <w:tcBorders>
              <w:tl2br w:val="nil"/>
              <w:tr2bl w:val="nil"/>
            </w:tcBorders>
            <w:shd w:val="clear" w:color="auto" w:fill="auto"/>
            <w:vAlign w:val="center"/>
          </w:tcPr>
          <w:p>
            <w:pPr>
              <w:pStyle w:val="52"/>
              <w:rPr>
                <w:rFonts w:hint="default" w:ascii="Times New Roman" w:hAnsi="Times New Roman"/>
                <w:color w:val="FF0000"/>
                <w:sz w:val="21"/>
                <w:szCs w:val="21"/>
                <w:highlight w:val="none"/>
                <w:lang w:val="en-US" w:eastAsia="zh-CN"/>
              </w:rPr>
            </w:pPr>
            <w:r>
              <w:rPr>
                <w:rFonts w:hint="eastAsia"/>
                <w:color w:val="FF0000"/>
                <w:sz w:val="21"/>
                <w:szCs w:val="21"/>
                <w:highlight w:val="none"/>
                <w:lang w:val="en-US" w:eastAsia="zh-CN"/>
              </w:rPr>
              <w:t>55</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0.075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0.0083</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b w:val="0"/>
                <w:color w:val="FF0000"/>
                <w:sz w:val="21"/>
                <w:szCs w:val="21"/>
                <w:highlight w:val="none"/>
                <w:lang w:val="en-US" w:eastAsia="zh-CN"/>
              </w:rPr>
              <w:t>7</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62.929</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6.9921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b w:val="0"/>
                <w:bCs/>
                <w:color w:val="FF0000"/>
                <w:sz w:val="21"/>
                <w:szCs w:val="21"/>
                <w:highlight w:val="none"/>
                <w:lang w:eastAsia="zh-CN"/>
              </w:rPr>
            </w:pPr>
            <w:r>
              <w:rPr>
                <w:rFonts w:hint="eastAsia" w:ascii="Times New Roman" w:hAnsi="Times New Roman"/>
                <w:b w:val="0"/>
                <w:bCs/>
                <w:color w:val="FF0000"/>
                <w:sz w:val="21"/>
                <w:szCs w:val="21"/>
                <w:highlight w:val="none"/>
                <w:lang w:val="en-US" w:eastAsia="zh-CN"/>
              </w:rPr>
              <w:t>3</w:t>
            </w:r>
          </w:p>
        </w:tc>
        <w:tc>
          <w:tcPr>
            <w:tcW w:w="1032" w:type="dxa"/>
            <w:tcBorders>
              <w:tl2br w:val="nil"/>
              <w:tr2bl w:val="nil"/>
            </w:tcBorders>
            <w:shd w:val="clear" w:color="auto" w:fill="auto"/>
            <w:vAlign w:val="center"/>
          </w:tcPr>
          <w:p>
            <w:pPr>
              <w:pStyle w:val="52"/>
              <w:rPr>
                <w:rFonts w:ascii="Times New Roman" w:hAnsi="Times New Roman" w:eastAsia="宋体" w:cs="宋体"/>
                <w:b w:val="0"/>
                <w:bCs/>
                <w:color w:val="FF0000"/>
                <w:sz w:val="21"/>
                <w:szCs w:val="21"/>
                <w:highlight w:val="none"/>
              </w:rPr>
            </w:pPr>
            <w:r>
              <w:rPr>
                <w:rFonts w:hint="eastAsia" w:ascii="Times New Roman" w:hAnsi="Times New Roman"/>
                <w:color w:val="FF0000"/>
                <w:sz w:val="21"/>
                <w:szCs w:val="21"/>
                <w:highlight w:val="none"/>
                <w:lang w:val="en-US" w:eastAsia="zh-CN"/>
              </w:rPr>
              <w:t>100</w:t>
            </w:r>
          </w:p>
        </w:tc>
        <w:tc>
          <w:tcPr>
            <w:tcW w:w="1488"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0.058</w:t>
            </w:r>
          </w:p>
        </w:tc>
        <w:tc>
          <w:tcPr>
            <w:tcW w:w="1337"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0.0064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100</w:t>
            </w:r>
          </w:p>
        </w:tc>
        <w:tc>
          <w:tcPr>
            <w:tcW w:w="1386" w:type="dxa"/>
            <w:tcBorders>
              <w:tl2br w:val="nil"/>
              <w:tr2bl w:val="nil"/>
            </w:tcBorders>
            <w:shd w:val="clear" w:color="auto" w:fill="auto"/>
            <w:vAlign w:val="center"/>
          </w:tcPr>
          <w:p>
            <w:pPr>
              <w:pStyle w:val="52"/>
              <w:rPr>
                <w:rFonts w:hint="default" w:ascii="Times New Roman" w:hAnsi="Times New Roman" w:cs="宋体"/>
                <w:b w:val="0"/>
                <w:bCs/>
                <w:color w:val="FF0000"/>
                <w:sz w:val="21"/>
                <w:szCs w:val="21"/>
                <w:highlight w:val="none"/>
                <w:lang w:val="en-US" w:eastAsia="zh-CN"/>
              </w:rPr>
            </w:pPr>
            <w:r>
              <w:rPr>
                <w:rFonts w:hint="eastAsia" w:cs="宋体"/>
                <w:b w:val="0"/>
                <w:bCs/>
                <w:color w:val="FF0000"/>
                <w:sz w:val="21"/>
                <w:szCs w:val="21"/>
                <w:highlight w:val="none"/>
                <w:lang w:val="en-US" w:eastAsia="zh-CN"/>
              </w:rPr>
              <w:t>0.888</w:t>
            </w:r>
          </w:p>
        </w:tc>
        <w:tc>
          <w:tcPr>
            <w:tcW w:w="1388" w:type="dxa"/>
            <w:tcBorders>
              <w:tl2br w:val="nil"/>
              <w:tr2bl w:val="nil"/>
            </w:tcBorders>
            <w:shd w:val="clear" w:color="auto" w:fill="auto"/>
            <w:vAlign w:val="center"/>
          </w:tcPr>
          <w:p>
            <w:pPr>
              <w:pStyle w:val="52"/>
              <w:rPr>
                <w:rFonts w:hint="default" w:ascii="Times New Roman" w:hAnsi="Times New Roman" w:cs="宋体"/>
                <w:b w:val="0"/>
                <w:bCs/>
                <w:color w:val="FF0000"/>
                <w:sz w:val="21"/>
                <w:szCs w:val="21"/>
                <w:highlight w:val="none"/>
                <w:lang w:val="en-US" w:eastAsia="zh-CN"/>
              </w:rPr>
            </w:pPr>
            <w:r>
              <w:rPr>
                <w:rFonts w:hint="eastAsia" w:cs="宋体"/>
                <w:b w:val="0"/>
                <w:bCs/>
                <w:color w:val="FF0000"/>
                <w:sz w:val="21"/>
                <w:szCs w:val="21"/>
                <w:highlight w:val="none"/>
                <w:lang w:val="en-US" w:eastAsia="zh-CN"/>
              </w:rPr>
              <w:t>0.986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4</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b w:val="0"/>
                <w:bCs/>
                <w:color w:val="FF0000"/>
                <w:sz w:val="21"/>
                <w:szCs w:val="21"/>
                <w:highlight w:val="none"/>
                <w:lang w:val="en-US" w:eastAsia="zh-CN"/>
              </w:rPr>
              <w:t>2</w:t>
            </w:r>
            <w:r>
              <w:rPr>
                <w:rFonts w:hint="eastAsia" w:ascii="Times New Roman" w:hAnsi="Times New Roman" w:eastAsia="宋体"/>
                <w:b w:val="0"/>
                <w:bCs/>
                <w:color w:val="FF0000"/>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0.0040</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0.343</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0.0381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5</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color w:val="FF0000"/>
                <w:sz w:val="21"/>
                <w:szCs w:val="21"/>
                <w:highlight w:val="none"/>
                <w:lang w:val="en-US" w:eastAsia="zh-CN"/>
              </w:rPr>
              <w:t>3</w:t>
            </w:r>
            <w:r>
              <w:rPr>
                <w:rFonts w:hint="eastAsia" w:ascii="Times New Roman" w:hAnsi="Times New Roman" w:eastAsia="宋体"/>
                <w:color w:val="FF0000"/>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0.0030</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300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0.197</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0.0219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6</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4</w:t>
            </w:r>
            <w:r>
              <w:rPr>
                <w:rFonts w:hint="eastAsia" w:ascii="Times New Roman" w:hAnsi="Times New Roman" w:eastAsia="宋体"/>
                <w:color w:val="FF0000"/>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0.0025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400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0.133</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0.0147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7</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0.019</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0.0021</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500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0.098</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8</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0.0018</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600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0.076</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0.0085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9</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700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0.0017</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700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0.062</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0.0069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10</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800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0.051</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11</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900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900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0.044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12</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0.0013</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0.038</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13</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1200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0.0011</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0.030</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0.0033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14</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1400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0.009</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0.0010</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1400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0.024</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0.0027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15</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0.0009</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1600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0.020</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0.0022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16</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0.0008</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1800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0.017</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17</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0.0008</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2000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0.015</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0.0016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18</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0.0007</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2500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0.011</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19</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0.0006</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3000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20</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3500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0.007</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21</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4000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0.006</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22</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4500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23</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37" w:type="dxa"/>
            <w:tcBorders>
              <w:tl2br w:val="nil"/>
              <w:tr2bl w:val="nil"/>
            </w:tcBorders>
            <w:shd w:val="clear" w:color="auto" w:fill="auto"/>
            <w:vAlign w:val="center"/>
          </w:tcPr>
          <w:p>
            <w:pPr>
              <w:pStyle w:val="52"/>
              <w:rPr>
                <w:rFonts w:hint="default"/>
                <w:lang w:val="en-US" w:eastAsia="zh-CN"/>
              </w:rPr>
            </w:pPr>
            <w:r>
              <w:rPr>
                <w:rFonts w:hint="eastAsia"/>
                <w:color w:val="FF0000"/>
                <w:lang w:val="en-US" w:eastAsia="zh-CN"/>
              </w:rPr>
              <w:t>0.0004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5000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0.075</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968" w:type="dxa"/>
            <w:tcBorders>
              <w:tl2br w:val="nil"/>
              <w:tr2bl w:val="nil"/>
            </w:tcBorders>
            <w:shd w:val="clear" w:color="auto" w:fill="auto"/>
            <w:vAlign w:val="center"/>
          </w:tcPr>
          <w:p>
            <w:pPr>
              <w:pStyle w:val="52"/>
              <w:rPr>
                <w:rFonts w:ascii="Times New Roman" w:hAnsi="Times New Roman" w:eastAsia="宋体"/>
                <w:b w:val="0"/>
                <w:color w:val="FF0000"/>
                <w:sz w:val="21"/>
                <w:szCs w:val="21"/>
                <w:highlight w:val="none"/>
              </w:rPr>
            </w:pPr>
            <w:r>
              <w:rPr>
                <w:rFonts w:hint="eastAsia" w:ascii="Times New Roman" w:hAnsi="Times New Roman"/>
                <w:color w:val="FF0000"/>
                <w:sz w:val="21"/>
                <w:szCs w:val="21"/>
                <w:highlight w:val="none"/>
                <w:lang w:val="en-US" w:eastAsia="zh-CN"/>
              </w:rPr>
              <w:t>下风向最大浓度</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62.93</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6.99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下风向最大浓度出现距离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55</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55</w:t>
            </w:r>
          </w:p>
        </w:tc>
        <w:tc>
          <w:tcPr>
            <w:tcW w:w="968" w:type="dxa"/>
            <w:tcBorders>
              <w:tl2br w:val="nil"/>
              <w:tr2bl w:val="nil"/>
            </w:tcBorders>
            <w:shd w:val="clear" w:color="auto" w:fill="auto"/>
            <w:vAlign w:val="center"/>
          </w:tcPr>
          <w:p>
            <w:pPr>
              <w:pStyle w:val="52"/>
              <w:rPr>
                <w:rFonts w:hint="eastAsia" w:ascii="Times New Roman" w:hAnsi="Times New Roman"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下风向最大浓度出现距离</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7.0</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D10%最远距离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968" w:type="dxa"/>
            <w:tcBorders>
              <w:tl2br w:val="nil"/>
              <w:tr2bl w:val="nil"/>
            </w:tcBorders>
            <w:shd w:val="clear" w:color="auto" w:fill="auto"/>
            <w:vAlign w:val="center"/>
          </w:tcPr>
          <w:p>
            <w:pPr>
              <w:pStyle w:val="52"/>
              <w:rPr>
                <w:rFonts w:hint="eastAsia" w:ascii="Times New Roman" w:hAnsi="Times New Roman"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D10%最远距离</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采砂场</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61</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73.63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8.18</w:t>
      </w:r>
      <w:r>
        <w:rPr>
          <w:rFonts w:hint="eastAsia" w:ascii="Times New Roman" w:hAnsi="Times New Roman" w:eastAsia="宋体"/>
          <w:color w:val="FF0000"/>
          <w:highlight w:val="none"/>
        </w:rPr>
        <w:t>%</w:t>
      </w:r>
      <w:r>
        <w:rPr>
          <w:rFonts w:hint="eastAsia" w:eastAsia="宋体"/>
          <w:color w:val="FF0000"/>
          <w:highlight w:val="none"/>
          <w:lang w:eastAsia="zh-CN"/>
        </w:rPr>
        <w:t>，</w:t>
      </w:r>
      <w:r>
        <w:rPr>
          <w:rFonts w:hint="eastAsia" w:ascii="Times New Roman" w:hAnsi="Times New Roman" w:eastAsia="宋体"/>
          <w:color w:val="FF0000"/>
          <w:highlight w:val="none"/>
        </w:rPr>
        <w:t>1%</w:t>
      </w:r>
      <w:r>
        <w:rPr>
          <w:rFonts w:hint="eastAsia" w:eastAsia="宋体"/>
          <w:color w:val="FF0000"/>
          <w:highlight w:val="none"/>
          <w:lang w:val="en-US"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0</w:t>
      </w:r>
      <w:r>
        <w:rPr>
          <w:rFonts w:hint="eastAsia" w:ascii="Times New Roman" w:hAnsi="Times New Roman" w:eastAsia="宋体"/>
          <w:color w:val="FF0000"/>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回填作业面</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55</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0.075</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0.08</w:t>
      </w:r>
      <w:r>
        <w:rPr>
          <w:rFonts w:hint="eastAsia" w:ascii="Times New Roman" w:hAnsi="Times New Roman" w:eastAsia="宋体"/>
          <w:color w:val="FF0000"/>
          <w:highlight w:val="none"/>
        </w:rPr>
        <w:t>%</w:t>
      </w:r>
      <w:r>
        <w:rPr>
          <w:rFonts w:hint="eastAsia" w:eastAsia="宋体"/>
          <w:color w:val="FF0000"/>
          <w:highlight w:val="none"/>
          <w:lang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成品</w:t>
      </w:r>
      <w:r>
        <w:rPr>
          <w:rFonts w:hint="eastAsia" w:ascii="Times New Roman" w:hAnsi="Times New Roman" w:eastAsia="宋体"/>
          <w:color w:val="FF0000"/>
          <w:highlight w:val="none"/>
          <w:lang w:val="en-US" w:eastAsia="zh-CN"/>
        </w:rPr>
        <w:t>堆场</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39</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8.14</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ascii="Times New Roman" w:hAnsi="Times New Roman" w:eastAsia="宋体"/>
          <w:color w:val="FF0000"/>
          <w:highlight w:val="none"/>
          <w:lang w:val="en-US" w:eastAsia="zh-CN"/>
        </w:rPr>
        <w:t>0.</w:t>
      </w:r>
      <w:r>
        <w:rPr>
          <w:rFonts w:hint="eastAsia" w:eastAsia="宋体"/>
          <w:color w:val="FF0000"/>
          <w:highlight w:val="none"/>
          <w:lang w:val="en-US" w:eastAsia="zh-CN"/>
        </w:rPr>
        <w:t>90</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筛分工序</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7</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62.93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6.99</w:t>
      </w:r>
      <w:r>
        <w:rPr>
          <w:rFonts w:hint="eastAsia" w:ascii="Times New Roman" w:hAnsi="Times New Roman" w:eastAsia="宋体"/>
          <w:color w:val="FF0000"/>
          <w:highlight w:val="none"/>
        </w:rPr>
        <w:t>%</w:t>
      </w:r>
      <w:r>
        <w:rPr>
          <w:rFonts w:hint="eastAsia" w:eastAsia="宋体"/>
          <w:color w:val="FF0000"/>
          <w:highlight w:val="none"/>
          <w:lang w:eastAsia="zh-CN"/>
        </w:rPr>
        <w:t>，</w:t>
      </w:r>
      <w:r>
        <w:rPr>
          <w:rFonts w:hint="eastAsia" w:ascii="Times New Roman" w:hAnsi="Times New Roman" w:eastAsia="宋体"/>
          <w:color w:val="FF0000"/>
          <w:highlight w:val="none"/>
        </w:rPr>
        <w:t>1%</w:t>
      </w:r>
      <w:r>
        <w:rPr>
          <w:rFonts w:hint="eastAsia" w:eastAsia="宋体"/>
          <w:color w:val="FF0000"/>
          <w:highlight w:val="none"/>
          <w:lang w:val="en-US"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0</w:t>
      </w:r>
      <w:r>
        <w:rPr>
          <w:rFonts w:hint="eastAsia" w:ascii="Times New Roman" w:hAnsi="Times New Roman" w:eastAsia="宋体"/>
          <w:color w:val="FF0000"/>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rPr>
        <w:t>本项目</w:t>
      </w:r>
      <w:r>
        <w:rPr>
          <w:rFonts w:hint="eastAsia" w:ascii="Times New Roman" w:hAnsi="Times New Roman" w:eastAsia="宋体"/>
          <w:color w:val="FF0000"/>
          <w:highlight w:val="none"/>
          <w:lang w:val="en-US" w:eastAsia="zh-CN"/>
        </w:rPr>
        <w:t>运输道路</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76</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68.51</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7.61</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1%</w:t>
      </w:r>
      <w:r>
        <w:rPr>
          <w:rFonts w:hint="eastAsia" w:eastAsia="宋体"/>
          <w:color w:val="FF0000"/>
          <w:highlight w:val="none"/>
          <w:lang w:val="en-US"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0</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FF0000"/>
          <w:highlight w:val="none"/>
        </w:rPr>
      </w:pPr>
      <w:r>
        <w:rPr>
          <w:rFonts w:hint="eastAsia" w:ascii="Times New Roman" w:hAnsi="Times New Roman" w:eastAsia="宋体"/>
          <w:color w:val="FF0000"/>
          <w:highlight w:val="none"/>
        </w:rPr>
        <w:t>因此，按《环境影响评价技术导则 大气环境》</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HJ2.2-2018</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评价等级判定方法本工程为</w:t>
      </w:r>
      <w:r>
        <w:rPr>
          <w:rFonts w:hint="eastAsia" w:ascii="Times New Roman" w:hAnsi="Times New Roman" w:eastAsia="宋体"/>
          <w:color w:val="FF0000"/>
          <w:highlight w:val="none"/>
          <w:lang w:val="en-US" w:eastAsia="zh-CN"/>
        </w:rPr>
        <w:t>二</w:t>
      </w:r>
      <w:r>
        <w:rPr>
          <w:rFonts w:hint="eastAsia" w:ascii="Times New Roman" w:hAnsi="Times New Roman" w:eastAsia="宋体"/>
          <w:color w:val="FF0000"/>
          <w:highlight w:val="none"/>
        </w:rPr>
        <w:t>级评价项目。</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bookmarkStart w:id="194" w:name="_Toc27144"/>
      <w:r>
        <w:rPr>
          <w:rFonts w:hint="eastAsia" w:ascii="Times New Roman" w:hAnsi="Times New Roman" w:eastAsia="宋体"/>
          <w:b/>
          <w:bCs w:val="0"/>
          <w:color w:val="auto"/>
          <w:highlight w:val="none"/>
        </w:rPr>
        <w:t>5.</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rPr>
        <w:t>.3 主要污染物的排放量核算</w:t>
      </w:r>
      <w:bookmarkEnd w:id="194"/>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.3.1主要污染物的排放量核算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auto"/>
          <w:highlight w:val="yellow"/>
          <w:lang w:val="en-US" w:eastAsia="zh-CN"/>
        </w:rPr>
      </w:pPr>
      <w:r>
        <w:rPr>
          <w:rFonts w:hint="eastAsia" w:ascii="Times New Roman" w:hAnsi="Times New Roman" w:eastAsia="宋体"/>
          <w:color w:val="auto"/>
          <w:highlight w:val="none"/>
        </w:rPr>
        <w:t>（1）</w:t>
      </w:r>
      <w:r>
        <w:rPr>
          <w:rFonts w:hint="eastAsia" w:eastAsia="宋体"/>
          <w:color w:val="auto"/>
          <w:highlight w:val="none"/>
          <w:lang w:val="en-US" w:eastAsia="zh-CN"/>
        </w:rPr>
        <w:t>露天采场原料砂装卸及堆存粉尘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highlight w:val="none"/>
          <w:lang w:val="en-US" w:eastAsia="zh-CN"/>
        </w:rPr>
      </w:pPr>
      <w:r>
        <w:rPr>
          <w:rFonts w:hint="eastAsia" w:eastAsia="宋体"/>
          <w:color w:val="auto"/>
          <w:highlight w:val="none"/>
          <w:lang w:val="en-US" w:eastAsia="zh-CN"/>
        </w:rPr>
        <w:t>露天采场在采砂作业原料开采、砂装卸及堆存过程中，由于地表扰动和风力作用会产生扬尘，主要大气污染物为颗粒物，将对大气环境产生污染影响。</w:t>
      </w:r>
      <w:r>
        <w:rPr>
          <w:rFonts w:hint="eastAsia" w:ascii="Times New Roman" w:hAnsi="Times New Roman" w:eastAsia="宋体"/>
          <w:color w:val="auto"/>
          <w:highlight w:val="none"/>
          <w:lang w:val="en-US" w:eastAsia="zh-CN"/>
        </w:rPr>
        <w:t>参考《逸散性工业粉尘控制技术》中的经验估算，</w:t>
      </w:r>
      <w:r>
        <w:rPr>
          <w:rFonts w:hint="eastAsia" w:eastAsia="宋体"/>
          <w:color w:val="auto"/>
          <w:highlight w:val="none"/>
          <w:lang w:val="en-US" w:eastAsia="zh-CN"/>
        </w:rPr>
        <w:t>原料砂</w:t>
      </w:r>
      <w:r>
        <w:rPr>
          <w:rFonts w:hint="eastAsia" w:ascii="Times New Roman" w:hAnsi="Times New Roman" w:eastAsia="宋体"/>
          <w:color w:val="auto"/>
          <w:highlight w:val="none"/>
          <w:lang w:val="en-US" w:eastAsia="zh-CN"/>
        </w:rPr>
        <w:t>的逸散尘量为0.005kg/t。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eastAsia="zh-CN"/>
        </w:rPr>
      </w:pPr>
      <w:r>
        <w:rPr>
          <w:rFonts w:hint="eastAsia" w:eastAsia="宋体"/>
          <w:color w:val="auto"/>
          <w:highlight w:val="none"/>
          <w:lang w:val="en-US" w:eastAsia="zh-CN"/>
        </w:rPr>
        <w:t>采场每年开采能力为6×10</w:t>
      </w:r>
      <w:r>
        <w:rPr>
          <w:rFonts w:hint="eastAsia" w:eastAsia="宋体"/>
          <w:color w:val="auto"/>
          <w:highlight w:val="none"/>
          <w:vertAlign w:val="superscript"/>
          <w:lang w:val="en-US" w:eastAsia="zh-CN"/>
        </w:rPr>
        <w:t>4</w:t>
      </w:r>
      <w:r>
        <w:rPr>
          <w:rFonts w:hint="eastAsia" w:eastAsia="宋体"/>
          <w:color w:val="auto"/>
          <w:highlight w:val="none"/>
          <w:lang w:val="en-US" w:eastAsia="zh-CN"/>
        </w:rPr>
        <w:t>m</w:t>
      </w:r>
      <w:r>
        <w:rPr>
          <w:rFonts w:hint="eastAsia" w:eastAsia="宋体"/>
          <w:color w:val="auto"/>
          <w:highlight w:val="none"/>
          <w:vertAlign w:val="superscript"/>
          <w:lang w:val="en-US" w:eastAsia="zh-CN"/>
        </w:rPr>
        <w:t>3</w:t>
      </w:r>
      <w:r>
        <w:rPr>
          <w:rFonts w:hint="eastAsia" w:eastAsia="宋体"/>
          <w:color w:val="auto"/>
          <w:highlight w:val="none"/>
          <w:lang w:val="en-US" w:eastAsia="zh-CN"/>
        </w:rPr>
        <w:t>/a，合计76800t/a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eastAsia="宋体"/>
          <w:color w:val="auto"/>
          <w:highlight w:val="none"/>
          <w:lang w:val="en-US" w:eastAsia="zh-CN"/>
        </w:rPr>
        <w:t>，经计算采场起尘量约为0.384t/a，通过采取雾炮降尘、降低作业面、大风天气停止作业等措施后，降尘量为99%，采场扬尘降为0.00384t/a（0.002kg/h）。</w:t>
      </w:r>
      <w:r>
        <w:rPr>
          <w:rFonts w:hint="eastAsia" w:ascii="Times New Roman" w:hAnsi="Times New Roman" w:eastAsia="宋体"/>
          <w:color w:val="auto"/>
          <w:highlight w:val="none"/>
          <w:lang w:val="en-US" w:eastAsia="zh-CN"/>
        </w:rPr>
        <w:t>通过预测，最大落地浓度为</w:t>
      </w:r>
      <w:r>
        <w:rPr>
          <w:rFonts w:hint="eastAsia" w:eastAsia="宋体"/>
          <w:color w:val="auto"/>
          <w:highlight w:val="none"/>
          <w:lang w:val="en-US" w:eastAsia="zh-CN"/>
        </w:rPr>
        <w:t>73.63</w:t>
      </w:r>
      <w:r>
        <w:rPr>
          <w:rFonts w:hint="default" w:ascii="Times New Roman" w:hAnsi="Times New Roman" w:eastAsia="宋体" w:cs="Times New Roman"/>
          <w:color w:val="auto"/>
          <w:highlight w:val="none"/>
          <w:lang w:val="en-US" w:eastAsia="zh-CN"/>
        </w:rPr>
        <w:t>μ</w:t>
      </w:r>
      <w:r>
        <w:rPr>
          <w:rFonts w:hint="eastAsia" w:ascii="Times New Roman" w:hAnsi="Times New Roman" w:eastAsia="宋体"/>
          <w:color w:val="auto"/>
          <w:highlight w:val="none"/>
          <w:lang w:val="en-US" w:eastAsia="zh-CN"/>
        </w:rPr>
        <w:t>g/m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，排放浓度能够满足</w:t>
      </w:r>
      <w:r>
        <w:rPr>
          <w:rFonts w:hint="eastAsia" w:ascii="Times New Roman" w:hAnsi="Times New Roman" w:eastAsia="宋体"/>
          <w:color w:val="auto"/>
          <w:highlight w:val="none"/>
        </w:rPr>
        <w:t>《大气污染物综合排放标准》（GB16297-1996）表2中的</w:t>
      </w:r>
      <w:r>
        <w:rPr>
          <w:rFonts w:hint="eastAsia" w:ascii="Times New Roman" w:hAnsi="Times New Roman" w:eastAsia="宋体"/>
          <w:color w:val="auto"/>
          <w:highlight w:val="none"/>
          <w:lang w:eastAsia="zh-CN"/>
        </w:rPr>
        <w:t>无组织排放</w:t>
      </w:r>
      <w:r>
        <w:rPr>
          <w:rFonts w:hint="eastAsia" w:ascii="Times New Roman" w:hAnsi="Times New Roman" w:eastAsia="宋体"/>
          <w:color w:val="auto"/>
          <w:highlight w:val="none"/>
        </w:rPr>
        <w:t>标准</w:t>
      </w:r>
      <w:r>
        <w:rPr>
          <w:rFonts w:hint="eastAsia" w:ascii="Times New Roman" w:hAnsi="Times New Roman" w:eastAsia="宋体"/>
          <w:color w:val="auto"/>
          <w:highlight w:val="none"/>
          <w:lang w:eastAsia="zh-CN"/>
        </w:rPr>
        <w:t>要求</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yellow"/>
          <w:lang w:val="en-US" w:eastAsia="zh-CN"/>
        </w:rPr>
        <w:br w:type="textWrapping"/>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FF0000"/>
          <w:highlight w:val="none"/>
          <w:lang w:val="en-US" w:eastAsia="zh-CN"/>
        </w:rPr>
        <w:t>（2）</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堆存及装卸粉尘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成品砂</w:t>
      </w:r>
      <w:r>
        <w:rPr>
          <w:rFonts w:hint="eastAsia" w:ascii="Times New Roman" w:hAnsi="Times New Roman" w:eastAsia="宋体"/>
          <w:color w:val="FF0000"/>
          <w:highlight w:val="none"/>
          <w:lang w:val="en-US" w:eastAsia="zh-CN"/>
        </w:rPr>
        <w:t>的装卸、堆存过程会产生粉尘，参考《逸散性工业粉尘控制技术》中的经验估算，</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w:t>
      </w:r>
      <w:r>
        <w:rPr>
          <w:rFonts w:hint="eastAsia" w:ascii="Times New Roman" w:hAnsi="Times New Roman" w:eastAsia="宋体"/>
          <w:color w:val="FF0000"/>
          <w:highlight w:val="none"/>
          <w:lang w:val="en-US" w:eastAsia="zh-CN"/>
        </w:rPr>
        <w:t>场存放的均为水洗过后的沙子，含水量较高，</w:t>
      </w:r>
      <w:r>
        <w:rPr>
          <w:rFonts w:hint="eastAsia" w:eastAsia="宋体"/>
          <w:color w:val="FF0000"/>
          <w:highlight w:val="none"/>
          <w:lang w:val="en-US" w:eastAsia="zh-CN"/>
        </w:rPr>
        <w:t>粉尘</w:t>
      </w:r>
      <w:r>
        <w:rPr>
          <w:rFonts w:hint="eastAsia" w:ascii="Times New Roman" w:hAnsi="Times New Roman" w:eastAsia="宋体"/>
          <w:color w:val="FF0000"/>
          <w:highlight w:val="none"/>
          <w:lang w:val="en-US" w:eastAsia="zh-CN"/>
        </w:rPr>
        <w:t>的逸散尘量为0.00</w:t>
      </w:r>
      <w:r>
        <w:rPr>
          <w:rFonts w:hint="eastAsia" w:eastAsia="宋体"/>
          <w:color w:val="FF0000"/>
          <w:highlight w:val="none"/>
          <w:lang w:val="en-US" w:eastAsia="zh-CN"/>
        </w:rPr>
        <w:t>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成品砂年周转量为3.28</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，即41984t/a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0.0021</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本项目成品砂为水洗后砂料，含水量较高，且未颗粒物料，通过苫盖</w:t>
      </w:r>
      <w:r>
        <w:rPr>
          <w:rFonts w:hint="eastAsia" w:ascii="Times New Roman" w:hAnsi="Times New Roman" w:eastAsia="宋体"/>
          <w:color w:val="FF0000"/>
          <w:highlight w:val="none"/>
          <w:lang w:val="en-US" w:eastAsia="zh-CN"/>
        </w:rPr>
        <w:t>降尘可除去90%的粉尘量，排放量为0.00</w:t>
      </w:r>
      <w:r>
        <w:rPr>
          <w:rFonts w:hint="eastAsia" w:eastAsia="宋体"/>
          <w:color w:val="FF0000"/>
          <w:highlight w:val="none"/>
          <w:lang w:val="en-US" w:eastAsia="zh-CN"/>
        </w:rPr>
        <w:t>021</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11</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8.14</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3</w:t>
      </w:r>
      <w:r>
        <w:rPr>
          <w:rFonts w:hint="eastAsia" w:eastAsia="宋体"/>
          <w:color w:val="FF0000"/>
          <w:highlight w:val="none"/>
          <w:lang w:eastAsia="zh-CN"/>
        </w:rPr>
        <w:t>）</w:t>
      </w:r>
      <w:r>
        <w:rPr>
          <w:rFonts w:hint="eastAsia" w:eastAsia="宋体"/>
          <w:color w:val="FF0000"/>
          <w:highlight w:val="none"/>
          <w:lang w:val="en-US" w:eastAsia="zh-CN"/>
        </w:rPr>
        <w:t>回填区作业面粉尘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废石以及脱水底泥回填</w:t>
      </w:r>
      <w:r>
        <w:rPr>
          <w:rFonts w:hint="eastAsia" w:ascii="Times New Roman" w:hAnsi="Times New Roman" w:eastAsia="宋体"/>
          <w:color w:val="FF0000"/>
          <w:highlight w:val="none"/>
          <w:lang w:val="en-US" w:eastAsia="zh-CN"/>
        </w:rPr>
        <w:t>过程</w:t>
      </w:r>
      <w:r>
        <w:rPr>
          <w:rFonts w:hint="eastAsia" w:eastAsia="宋体"/>
          <w:color w:val="FF0000"/>
          <w:highlight w:val="none"/>
          <w:lang w:val="en-US" w:eastAsia="zh-CN"/>
        </w:rPr>
        <w:t>中，运输和回填整平过程中</w:t>
      </w:r>
      <w:r>
        <w:rPr>
          <w:rFonts w:hint="eastAsia" w:ascii="Times New Roman" w:hAnsi="Times New Roman" w:eastAsia="宋体"/>
          <w:color w:val="FF0000"/>
          <w:highlight w:val="none"/>
          <w:lang w:val="en-US" w:eastAsia="zh-CN"/>
        </w:rPr>
        <w:t>会产生粉尘，参考《逸散性工业粉尘控制技术》中的经验估算，</w:t>
      </w:r>
      <w:r>
        <w:rPr>
          <w:rFonts w:hint="eastAsia" w:eastAsia="宋体"/>
          <w:color w:val="FF0000"/>
          <w:highlight w:val="none"/>
          <w:lang w:val="en-US" w:eastAsia="zh-CN"/>
        </w:rPr>
        <w:t>回填区作业面较小，用于回填</w:t>
      </w:r>
      <w:r>
        <w:rPr>
          <w:rFonts w:hint="eastAsia" w:ascii="Times New Roman" w:hAnsi="Times New Roman" w:eastAsia="宋体"/>
          <w:color w:val="FF0000"/>
          <w:highlight w:val="none"/>
          <w:lang w:val="en-US" w:eastAsia="zh-CN"/>
        </w:rPr>
        <w:t>的为</w:t>
      </w:r>
      <w:r>
        <w:rPr>
          <w:rFonts w:hint="eastAsia" w:eastAsia="宋体"/>
          <w:color w:val="FF0000"/>
          <w:highlight w:val="none"/>
          <w:lang w:val="en-US" w:eastAsia="zh-CN"/>
        </w:rPr>
        <w:t>石子及脱水底泥</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石子和脱水底泥基本不起尘，主要是回填时，装卸运输过程会产生粉尘</w:t>
      </w:r>
      <w:r>
        <w:rPr>
          <w:rFonts w:hint="eastAsia" w:ascii="Times New Roman" w:hAnsi="Times New Roman" w:eastAsia="宋体"/>
          <w:color w:val="FF0000"/>
          <w:highlight w:val="none"/>
          <w:lang w:val="en-US" w:eastAsia="zh-CN"/>
        </w:rPr>
        <w:t>，逸散尘量为0.0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废石、脱水底泥年周转量为5096t/a</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0.00025</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针对回填区起尘，通过采取降低作业面以及洒水抑尘方式降尘，</w:t>
      </w:r>
      <w:r>
        <w:rPr>
          <w:rFonts w:hint="eastAsia" w:ascii="Times New Roman" w:hAnsi="Times New Roman" w:eastAsia="宋体"/>
          <w:color w:val="FF0000"/>
          <w:highlight w:val="none"/>
          <w:lang w:val="en-US" w:eastAsia="zh-CN"/>
        </w:rPr>
        <w:t>可除去</w:t>
      </w:r>
      <w:r>
        <w:rPr>
          <w:rFonts w:hint="eastAsia" w:eastAsia="宋体"/>
          <w:color w:val="FF0000"/>
          <w:highlight w:val="none"/>
          <w:lang w:val="en-US" w:eastAsia="zh-CN"/>
        </w:rPr>
        <w:t>5</w:t>
      </w:r>
      <w:r>
        <w:rPr>
          <w:rFonts w:hint="eastAsia" w:ascii="Times New Roman" w:hAnsi="Times New Roman" w:eastAsia="宋体"/>
          <w:color w:val="FF0000"/>
          <w:highlight w:val="none"/>
          <w:lang w:val="en-US" w:eastAsia="zh-CN"/>
        </w:rPr>
        <w:t>0%的粉尘量，排放量为0.00</w:t>
      </w:r>
      <w:r>
        <w:rPr>
          <w:rFonts w:hint="eastAsia" w:eastAsia="宋体"/>
          <w:color w:val="FF0000"/>
          <w:highlight w:val="none"/>
          <w:lang w:val="en-US" w:eastAsia="zh-CN"/>
        </w:rPr>
        <w:t>0125</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065</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0.07</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筛分工序粉尘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yellow"/>
        </w:rPr>
      </w:pPr>
      <w:r>
        <w:rPr>
          <w:rFonts w:hint="eastAsia" w:eastAsia="宋体"/>
          <w:color w:val="FF0000"/>
          <w:highlight w:val="none"/>
          <w:lang w:val="en-US" w:eastAsia="zh-CN"/>
        </w:rPr>
        <w:t>原料砂筛分</w:t>
      </w:r>
      <w:r>
        <w:rPr>
          <w:rFonts w:hint="eastAsia" w:ascii="Times New Roman" w:hAnsi="Times New Roman" w:eastAsia="宋体"/>
          <w:color w:val="FF0000"/>
          <w:highlight w:val="none"/>
          <w:lang w:val="en-US" w:eastAsia="zh-CN"/>
        </w:rPr>
        <w:t>过程会产生粉尘，</w:t>
      </w:r>
      <w:r>
        <w:rPr>
          <w:rFonts w:hint="eastAsia" w:eastAsia="宋体"/>
          <w:color w:val="FF0000"/>
          <w:highlight w:val="none"/>
          <w:lang w:val="en-US" w:eastAsia="zh-CN"/>
        </w:rPr>
        <w:t>原料砂含水率较高，不易起尘，</w:t>
      </w:r>
      <w:r>
        <w:rPr>
          <w:rFonts w:hint="eastAsia" w:ascii="Times New Roman" w:hAnsi="Times New Roman" w:eastAsia="宋体"/>
          <w:color w:val="FF0000"/>
          <w:highlight w:val="none"/>
          <w:lang w:val="en-US" w:eastAsia="zh-CN"/>
        </w:rPr>
        <w:t>参考《逸散性工业粉尘控制技术》中的经验估算，</w:t>
      </w:r>
      <w:r>
        <w:rPr>
          <w:rFonts w:hint="eastAsia" w:eastAsia="宋体"/>
          <w:color w:val="FF0000"/>
          <w:highlight w:val="none"/>
          <w:lang w:val="en-US" w:eastAsia="zh-CN"/>
        </w:rPr>
        <w:t>原料砂</w:t>
      </w:r>
      <w:r>
        <w:rPr>
          <w:rFonts w:hint="eastAsia" w:ascii="Times New Roman" w:hAnsi="Times New Roman" w:eastAsia="宋体"/>
          <w:color w:val="FF0000"/>
          <w:highlight w:val="none"/>
          <w:lang w:val="en-US" w:eastAsia="zh-CN"/>
        </w:rPr>
        <w:t>的逸散尘量为0.</w:t>
      </w:r>
      <w:r>
        <w:rPr>
          <w:rFonts w:hint="eastAsia" w:eastAsia="宋体"/>
          <w:color w:val="FF0000"/>
          <w:highlight w:val="none"/>
          <w:lang w:val="en-US" w:eastAsia="zh-CN"/>
        </w:rPr>
        <w:t>0000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原料砂年处理量为4</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，即51200t/a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0.00256</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通过采取雾炮降尘、降低作业面、大风天气停止作业等措施后，降尘量为99%，采场扬尘降为0.0000256t/a（0.000013kg/h）。</w:t>
      </w:r>
      <w:r>
        <w:rPr>
          <w:rFonts w:hint="eastAsia" w:ascii="Times New Roman" w:hAnsi="Times New Roman" w:eastAsia="宋体"/>
          <w:color w:val="FF0000"/>
          <w:highlight w:val="none"/>
          <w:lang w:val="en-US" w:eastAsia="zh-CN"/>
        </w:rPr>
        <w:t>通过预测，最大落地浓度为</w:t>
      </w:r>
      <w:r>
        <w:rPr>
          <w:rFonts w:hint="eastAsia" w:eastAsia="宋体"/>
          <w:color w:val="FF0000"/>
          <w:highlight w:val="none"/>
          <w:lang w:val="en-US" w:eastAsia="zh-CN"/>
        </w:rPr>
        <w:t>62.93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5</w:t>
      </w:r>
      <w:r>
        <w:rPr>
          <w:rFonts w:hint="eastAsia" w:ascii="Times New Roman" w:hAnsi="Times New Roman" w:eastAsia="宋体"/>
          <w:color w:val="auto"/>
          <w:highlight w:val="none"/>
        </w:rPr>
        <w:t>）运输车辆动力起尘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根据有关资料介绍，车辆行驶产生的扬尘，在完全干燥情况下，可按下列经验公式计算：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Q=0.123(V/5)(W/6.8)0.85(P/0.5)0.75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式中：Q——汽车行驶产生的扬尘量，kg/km.辆；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V——汽车速度，km/h；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W——汽车载重量，t；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P——道路表面粉尘量，kg/m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表</w:t>
      </w:r>
      <w:r>
        <w:rPr>
          <w:rFonts w:hint="eastAsia" w:ascii="Times New Roman" w:hAnsi="Times New Roman" w:eastAsia="宋体"/>
          <w:color w:val="auto"/>
          <w:highlight w:val="none"/>
          <w:lang w:val="en-US" w:eastAsia="zh-CN"/>
        </w:rPr>
        <w:t>5.2-5</w:t>
      </w:r>
      <w:r>
        <w:rPr>
          <w:rFonts w:hint="eastAsia" w:ascii="Times New Roman" w:hAnsi="Times New Roman" w:eastAsia="宋体"/>
          <w:color w:val="auto"/>
          <w:highlight w:val="none"/>
        </w:rPr>
        <w:t>为一辆载重10t的卡车，通过一段长度为1km的路面时，不同路面清洁程度，不同行驶速度情况下的扬尘量。由此可见，在同样路面清洁程度条件下，车速越快，扬尘量越大；而在同样车速情况下，路面越脏，则扬尘量越大。因此限速行驶和保持路面清洁是减少汽车扬尘的有效手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5.2-5</w:t>
      </w:r>
      <w:r>
        <w:rPr>
          <w:rFonts w:hint="eastAsia" w:ascii="Times New Roman" w:hAnsi="Times New Roman" w:eastAsia="宋体"/>
          <w:b/>
          <w:bCs/>
          <w:color w:val="auto"/>
          <w:highlight w:val="none"/>
        </w:rPr>
        <w:t xml:space="preserve"> 在不同车速和路面清洁程度的汽车扬尘    单位：kg/km.辆</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7"/>
        <w:gridCol w:w="1287"/>
        <w:gridCol w:w="1287"/>
        <w:gridCol w:w="1287"/>
        <w:gridCol w:w="1287"/>
        <w:gridCol w:w="1288"/>
        <w:gridCol w:w="12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12" w:space="0"/>
              <w:left w:val="single" w:color="auto" w:sz="6" w:space="0"/>
              <w:bottom w:val="single" w:color="auto" w:sz="6"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righ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车</w:t>
            </w:r>
            <w:r>
              <w:rPr>
                <w:rFonts w:hint="eastAsia" w:ascii="Times New Roman" w:hAnsi="Times New Roman" w:eastAsia="宋体"/>
                <w:color w:val="auto"/>
                <w:sz w:val="21"/>
                <w:szCs w:val="21"/>
                <w:highlight w:val="none"/>
              </w:rPr>
              <w:t>速</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0.051056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0.085865</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0.116382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0.144408</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0.170715</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0.102112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w:t>
            </w:r>
            <w:r>
              <w:rPr>
                <w:rFonts w:hint="eastAsia" w:eastAsia="宋体"/>
                <w:color w:val="auto"/>
                <w:sz w:val="21"/>
                <w:szCs w:val="21"/>
                <w:highlight w:val="none"/>
                <w:lang w:val="en-US" w:eastAsia="zh-CN"/>
              </w:rPr>
              <w:t>3</w:t>
            </w:r>
            <w:r>
              <w:rPr>
                <w:rFonts w:hint="eastAsia" w:ascii="Times New Roman" w:hAnsi="Times New Roman" w:eastAsia="宋体"/>
                <w:color w:val="auto"/>
                <w:sz w:val="21"/>
                <w:szCs w:val="21"/>
                <w:highlight w:val="none"/>
              </w:rPr>
              <w:t>1731</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0.232764</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0.288815</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0.341431</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0.153167</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0.257596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0.349146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0.433223</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0.512146</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25（km/h）</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0.255279</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0.429326</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0.581910</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0.722038</w:t>
            </w:r>
          </w:p>
        </w:tc>
        <w:tc>
          <w:tcPr>
            <w:tcW w:w="1288"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0.853577</w:t>
            </w:r>
          </w:p>
        </w:tc>
        <w:tc>
          <w:tcPr>
            <w:tcW w:w="1288" w:type="dxa"/>
            <w:tcBorders>
              <w:top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1.435339</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sz w:val="24"/>
          <w:szCs w:val="24"/>
          <w:highlight w:val="yellow"/>
        </w:rPr>
      </w:pPr>
      <w:r>
        <w:rPr>
          <w:rFonts w:hint="eastAsia" w:ascii="Times New Roman" w:hAnsi="Times New Roman" w:eastAsia="宋体"/>
          <w:color w:val="auto"/>
          <w:highlight w:val="none"/>
        </w:rPr>
        <w:t>本项目车辆在厂区内行驶距离按1</w:t>
      </w:r>
      <w:r>
        <w:rPr>
          <w:rFonts w:hint="eastAsia" w:eastAsia="宋体"/>
          <w:color w:val="auto"/>
          <w:highlight w:val="none"/>
          <w:lang w:val="en-US" w:eastAsia="zh-CN"/>
        </w:rPr>
        <w:t>5</w:t>
      </w:r>
      <w:r>
        <w:rPr>
          <w:rFonts w:hint="eastAsia" w:ascii="Times New Roman" w:hAnsi="Times New Roman" w:eastAsia="宋体"/>
          <w:color w:val="auto"/>
          <w:highlight w:val="none"/>
        </w:rPr>
        <w:t>0m计，平均每天发车空、重载各</w:t>
      </w:r>
      <w:r>
        <w:rPr>
          <w:rFonts w:hint="eastAsia" w:eastAsia="宋体"/>
          <w:color w:val="auto"/>
          <w:highlight w:val="none"/>
          <w:lang w:val="en-US" w:eastAsia="zh-CN"/>
        </w:rPr>
        <w:t>10</w:t>
      </w:r>
      <w:r>
        <w:rPr>
          <w:rFonts w:hint="eastAsia" w:ascii="Times New Roman" w:hAnsi="Times New Roman" w:eastAsia="宋体"/>
          <w:color w:val="auto"/>
          <w:highlight w:val="none"/>
        </w:rPr>
        <w:t>次，空车重约10t，重车重约</w:t>
      </w:r>
      <w:r>
        <w:rPr>
          <w:rFonts w:hint="eastAsia" w:eastAsia="宋体"/>
          <w:color w:val="auto"/>
          <w:highlight w:val="none"/>
          <w:lang w:val="en-US" w:eastAsia="zh-CN"/>
        </w:rPr>
        <w:t>40</w:t>
      </w:r>
      <w:r>
        <w:rPr>
          <w:rFonts w:hint="eastAsia" w:ascii="Times New Roman" w:hAnsi="Times New Roman" w:eastAsia="宋体"/>
          <w:color w:val="auto"/>
          <w:highlight w:val="none"/>
        </w:rPr>
        <w:t>t，均以速度1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km/h行驶，道路路况以0.</w:t>
      </w:r>
      <w:r>
        <w:rPr>
          <w:rFonts w:hint="eastAsia" w:eastAsia="宋体"/>
          <w:color w:val="auto"/>
          <w:highlight w:val="none"/>
          <w:lang w:val="en-US" w:eastAsia="zh-CN"/>
        </w:rPr>
        <w:t>2</w:t>
      </w:r>
      <w:r>
        <w:rPr>
          <w:rFonts w:hint="eastAsia" w:ascii="Times New Roman" w:hAnsi="Times New Roman" w:eastAsia="宋体"/>
          <w:color w:val="auto"/>
          <w:highlight w:val="none"/>
        </w:rPr>
        <w:t>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计，则经计算，项目汽车动力起尘量为</w:t>
      </w:r>
      <w:r>
        <w:rPr>
          <w:rFonts w:hint="eastAsia" w:ascii="Times New Roman" w:hAnsi="Times New Roman" w:eastAsia="宋体"/>
          <w:color w:val="auto"/>
          <w:highlight w:val="none"/>
          <w:lang w:val="en-US" w:eastAsia="zh-CN"/>
        </w:rPr>
        <w:t>0.</w:t>
      </w:r>
      <w:r>
        <w:rPr>
          <w:rFonts w:hint="eastAsia" w:eastAsia="宋体"/>
          <w:color w:val="auto"/>
          <w:highlight w:val="none"/>
          <w:lang w:val="en-US" w:eastAsia="zh-CN"/>
        </w:rPr>
        <w:t>063</w:t>
      </w:r>
      <w:r>
        <w:rPr>
          <w:rFonts w:hint="eastAsia" w:ascii="Times New Roman" w:hAnsi="Times New Roman" w:eastAsia="宋体"/>
          <w:color w:val="auto"/>
          <w:highlight w:val="none"/>
        </w:rPr>
        <w:t>t/a。针对以上情况，要求项目建设方对道路进行</w:t>
      </w:r>
      <w:r>
        <w:rPr>
          <w:rFonts w:hint="eastAsia" w:ascii="Times New Roman" w:hAnsi="Times New Roman" w:eastAsia="宋体"/>
          <w:color w:val="auto"/>
          <w:highlight w:val="none"/>
          <w:lang w:eastAsia="zh-CN"/>
        </w:rPr>
        <w:t>山皮石压实</w:t>
      </w:r>
      <w:r>
        <w:rPr>
          <w:rFonts w:hint="eastAsia" w:ascii="Times New Roman" w:hAnsi="Times New Roman" w:eastAsia="宋体"/>
          <w:color w:val="auto"/>
          <w:highlight w:val="none"/>
        </w:rPr>
        <w:t>，派专人定期对路面进行洒水，车辆减速行驶，</w:t>
      </w:r>
      <w:r>
        <w:rPr>
          <w:rFonts w:hint="eastAsia" w:ascii="Times New Roman" w:hAnsi="Times New Roman" w:eastAsia="宋体"/>
          <w:color w:val="auto"/>
          <w:highlight w:val="none"/>
          <w:lang w:eastAsia="zh-CN"/>
        </w:rPr>
        <w:t>原料运输车辆</w:t>
      </w:r>
      <w:r>
        <w:rPr>
          <w:rFonts w:hint="eastAsia" w:ascii="Times New Roman" w:hAnsi="Times New Roman" w:eastAsia="宋体"/>
          <w:color w:val="auto"/>
          <w:highlight w:val="none"/>
          <w:lang w:val="en-US" w:eastAsia="zh-CN"/>
        </w:rPr>
        <w:t>100%苫盖，</w:t>
      </w:r>
      <w:r>
        <w:rPr>
          <w:rFonts w:hint="eastAsia" w:ascii="Times New Roman" w:hAnsi="Times New Roman" w:eastAsia="宋体"/>
          <w:color w:val="auto"/>
          <w:highlight w:val="none"/>
        </w:rPr>
        <w:t>采取这一系列措施后，抑尘效率至少可以达到</w:t>
      </w:r>
      <w:r>
        <w:rPr>
          <w:rFonts w:hint="eastAsia" w:ascii="Times New Roman" w:hAnsi="Times New Roman" w:eastAsia="宋体"/>
          <w:color w:val="auto"/>
          <w:highlight w:val="none"/>
          <w:lang w:val="en-US" w:eastAsia="zh-CN"/>
        </w:rPr>
        <w:t>9</w:t>
      </w:r>
      <w:r>
        <w:rPr>
          <w:rFonts w:hint="eastAsia" w:eastAsia="宋体"/>
          <w:color w:val="auto"/>
          <w:highlight w:val="none"/>
          <w:lang w:val="en-US" w:eastAsia="zh-CN"/>
        </w:rPr>
        <w:t>9</w:t>
      </w:r>
      <w:r>
        <w:rPr>
          <w:rFonts w:hint="eastAsia" w:ascii="Times New Roman" w:hAnsi="Times New Roman" w:eastAsia="宋体"/>
          <w:color w:val="auto"/>
          <w:highlight w:val="none"/>
        </w:rPr>
        <w:t>%，则起尘量降为</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0063</w:t>
      </w:r>
      <w:r>
        <w:rPr>
          <w:rFonts w:hint="eastAsia" w:ascii="Times New Roman" w:hAnsi="Times New Roman" w:eastAsia="宋体"/>
          <w:color w:val="auto"/>
          <w:highlight w:val="none"/>
        </w:rPr>
        <w:t>t/a</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00328</w:t>
      </w:r>
      <w:r>
        <w:rPr>
          <w:rFonts w:hint="eastAsia" w:ascii="Times New Roman" w:hAnsi="Times New Roman" w:eastAsia="宋体"/>
          <w:color w:val="auto"/>
          <w:highlight w:val="none"/>
          <w:lang w:val="en-US" w:eastAsia="zh-CN"/>
        </w:rPr>
        <w:t>kg/h</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，浓度为</w:t>
      </w:r>
      <w:r>
        <w:rPr>
          <w:rFonts w:hint="eastAsia" w:eastAsia="宋体"/>
          <w:color w:val="auto"/>
          <w:highlight w:val="none"/>
          <w:lang w:val="en-US" w:eastAsia="zh-CN"/>
        </w:rPr>
        <w:t>58.53</w:t>
      </w:r>
      <w:r>
        <w:rPr>
          <w:rFonts w:hint="default" w:ascii="Times New Roman" w:hAnsi="Times New Roman" w:eastAsia="宋体" w:cs="Times New Roman"/>
          <w:color w:val="auto"/>
          <w:highlight w:val="none"/>
          <w:lang w:val="en-US" w:eastAsia="zh-CN"/>
        </w:rPr>
        <w:t>μ</w:t>
      </w:r>
      <w:r>
        <w:rPr>
          <w:rFonts w:hint="eastAsia" w:ascii="Times New Roman" w:hAnsi="Times New Roman" w:eastAsia="宋体"/>
          <w:color w:val="auto"/>
          <w:highlight w:val="none"/>
        </w:rPr>
        <w:t>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排放浓度能够满足</w:t>
      </w:r>
      <w:r>
        <w:rPr>
          <w:rFonts w:hint="eastAsia" w:ascii="Times New Roman" w:hAnsi="Times New Roman" w:eastAsia="宋体"/>
          <w:color w:val="auto"/>
          <w:highlight w:val="none"/>
        </w:rPr>
        <w:t>《大气污染物综合排放标准》（GB16297-1996）表2中的</w:t>
      </w:r>
      <w:r>
        <w:rPr>
          <w:rFonts w:hint="eastAsia" w:ascii="Times New Roman" w:hAnsi="Times New Roman" w:eastAsia="宋体"/>
          <w:color w:val="auto"/>
          <w:highlight w:val="none"/>
          <w:lang w:eastAsia="zh-CN"/>
        </w:rPr>
        <w:t>无组织排放</w:t>
      </w:r>
      <w:r>
        <w:rPr>
          <w:rFonts w:hint="eastAsia" w:ascii="Times New Roman" w:hAnsi="Times New Roman" w:eastAsia="宋体"/>
          <w:color w:val="auto"/>
          <w:highlight w:val="none"/>
        </w:rPr>
        <w:t>标准</w:t>
      </w:r>
      <w:r>
        <w:rPr>
          <w:rFonts w:hint="eastAsia" w:ascii="Times New Roman" w:hAnsi="Times New Roman" w:eastAsia="宋体"/>
          <w:color w:val="auto"/>
          <w:highlight w:val="none"/>
          <w:lang w:eastAsia="zh-CN"/>
        </w:rPr>
        <w:t>要求。</w:t>
      </w:r>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.3.2 废气总量控制指标</w:t>
      </w:r>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冬季不生产，如需取暖，采用电暖气取暖，无需申请SO</w:t>
      </w:r>
      <w:r>
        <w:rPr>
          <w:rFonts w:hint="eastAsia" w:ascii="Times New Roman" w:hAnsi="Times New Roman" w:eastAsia="宋体"/>
          <w:color w:val="auto"/>
          <w:highlight w:val="none"/>
          <w:vertAlign w:val="subscript"/>
          <w:lang w:val="en-US" w:eastAsia="zh-CN"/>
        </w:rPr>
        <w:t>2</w:t>
      </w:r>
      <w:r>
        <w:rPr>
          <w:rFonts w:hint="eastAsia" w:ascii="Times New Roman" w:hAnsi="Times New Roman" w:eastAsia="宋体"/>
          <w:color w:val="auto"/>
          <w:highlight w:val="none"/>
          <w:lang w:val="en-US" w:eastAsia="zh-CN"/>
        </w:rPr>
        <w:t>和NO</w:t>
      </w:r>
      <w:r>
        <w:rPr>
          <w:rFonts w:hint="eastAsia" w:ascii="Times New Roman" w:hAnsi="Times New Roman" w:eastAsia="宋体"/>
          <w:color w:val="auto"/>
          <w:highlight w:val="none"/>
          <w:vertAlign w:val="subscript"/>
          <w:lang w:val="en-US" w:eastAsia="zh-CN"/>
        </w:rPr>
        <w:t>X</w:t>
      </w:r>
      <w:r>
        <w:rPr>
          <w:rFonts w:hint="eastAsia" w:ascii="Times New Roman" w:hAnsi="Times New Roman" w:eastAsia="宋体"/>
          <w:color w:val="auto"/>
          <w:highlight w:val="none"/>
          <w:lang w:val="en-US" w:eastAsia="zh-CN"/>
        </w:rPr>
        <w:t>排放总量指标</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cs="Times New Roman"/>
          <w:b/>
          <w:bCs w:val="0"/>
          <w:color w:val="auto"/>
          <w:highlight w:val="none"/>
          <w:lang w:val="en-US" w:eastAsia="zh-CN"/>
        </w:rPr>
      </w:pPr>
      <w:bookmarkStart w:id="195" w:name="_Toc3852"/>
      <w:bookmarkStart w:id="196" w:name="_Toc43286969"/>
      <w:r>
        <w:rPr>
          <w:rFonts w:hint="eastAsia" w:ascii="Times New Roman" w:hAnsi="Times New Roman" w:eastAsia="宋体" w:cs="Times New Roman"/>
          <w:b/>
          <w:bCs w:val="0"/>
          <w:color w:val="auto"/>
          <w:highlight w:val="none"/>
          <w:lang w:val="en-US" w:eastAsia="zh-CN"/>
        </w:rPr>
        <w:t>5.2.4 环境空气影响与预测分析</w:t>
      </w:r>
      <w:bookmarkEnd w:id="195"/>
      <w:bookmarkEnd w:id="196"/>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根据《环境影响评价技术导则—大气环境》HJ2.2-2018要求“二级评价项目不进行进一步预测与评价。因此，本项目不进行预测分析。</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cs="Times New Roman"/>
          <w:b/>
          <w:bCs w:val="0"/>
          <w:color w:val="auto"/>
          <w:highlight w:val="none"/>
          <w:lang w:val="en-US" w:eastAsia="zh-CN"/>
        </w:rPr>
      </w:pPr>
      <w:bookmarkStart w:id="197" w:name="_Toc3308"/>
      <w:bookmarkStart w:id="198" w:name="_Toc43286970"/>
      <w:r>
        <w:rPr>
          <w:rFonts w:hint="eastAsia" w:ascii="Times New Roman" w:hAnsi="Times New Roman" w:eastAsia="宋体" w:cs="Times New Roman"/>
          <w:b/>
          <w:bCs w:val="0"/>
          <w:color w:val="auto"/>
          <w:highlight w:val="none"/>
          <w:lang w:val="en-US" w:eastAsia="zh-CN"/>
        </w:rPr>
        <w:t>5.2.5 大气环境防护距离</w:t>
      </w:r>
      <w:bookmarkEnd w:id="197"/>
      <w:bookmarkEnd w:id="198"/>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根据《环境影响评价技术导则大气环境》（HJ2.2-2018）“二级评价项目不进行进一步预测与评价”，本项目不需进行环境空气影响预测，因此，也无需进行大气环境防护距离的确定。</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99" w:name="_Toc27891"/>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 xml:space="preserve">6 </w:t>
      </w:r>
      <w:r>
        <w:rPr>
          <w:rFonts w:hint="eastAsia" w:ascii="Times New Roman" w:hAnsi="Times New Roman" w:eastAsia="宋体"/>
          <w:b/>
          <w:bCs w:val="0"/>
          <w:color w:val="auto"/>
          <w:highlight w:val="none"/>
          <w:lang w:val="en-US" w:eastAsia="zh-CN"/>
        </w:rPr>
        <w:t>大气环境影响评价自查表</w:t>
      </w:r>
      <w:bookmarkEnd w:id="199"/>
    </w:p>
    <w:p>
      <w:pPr>
        <w:pageBreakBefore w:val="0"/>
        <w:widowControl w:val="0"/>
        <w:kinsoku/>
        <w:wordWrap/>
        <w:overflowPunct/>
        <w:topLinePunct w:val="0"/>
        <w:autoSpaceDE/>
        <w:autoSpaceDN/>
        <w:bidi w:val="0"/>
        <w:adjustRightInd/>
        <w:snapToGrid/>
        <w:spacing w:before="157" w:beforeLines="50" w:after="157" w:afterLines="50" w:line="360" w:lineRule="auto"/>
        <w:ind w:firstLine="422" w:firstLineChars="176"/>
        <w:textAlignment w:val="auto"/>
        <w:outlineLvl w:val="9"/>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本项目大气环境影响评价自查表</w:t>
      </w:r>
      <w:r>
        <w:rPr>
          <w:rFonts w:hint="eastAsia" w:ascii="Times New Roman" w:hAnsi="Times New Roman" w:eastAsia="宋体" w:cs="宋体"/>
          <w:color w:val="auto"/>
          <w:sz w:val="24"/>
          <w:szCs w:val="24"/>
          <w:highlight w:val="none"/>
          <w:lang w:val="en-US" w:eastAsia="zh-CN"/>
        </w:rPr>
        <w:t>见</w:t>
      </w:r>
      <w:r>
        <w:rPr>
          <w:rFonts w:hint="default" w:ascii="Times New Roman" w:hAnsi="Times New Roman" w:eastAsia="宋体" w:cs="Times New Roman"/>
          <w:color w:val="auto"/>
          <w:sz w:val="24"/>
          <w:szCs w:val="24"/>
          <w:highlight w:val="none"/>
          <w:lang w:val="en-US" w:eastAsia="zh-CN"/>
        </w:rPr>
        <w:t>5.</w:t>
      </w:r>
      <w:r>
        <w:rPr>
          <w:rFonts w:hint="eastAsia" w:eastAsia="宋体" w:cs="Times New Roman"/>
          <w:color w:val="auto"/>
          <w:sz w:val="24"/>
          <w:szCs w:val="24"/>
          <w:highlight w:val="none"/>
          <w:lang w:val="en-US" w:eastAsia="zh-CN"/>
        </w:rPr>
        <w:t>2-6</w:t>
      </w:r>
      <w:r>
        <w:rPr>
          <w:rFonts w:hint="eastAsia" w:ascii="Times New Roman" w:hAnsi="Times New Roman" w:eastAsia="宋体" w:cs="宋体"/>
          <w:color w:val="auto"/>
          <w:sz w:val="24"/>
          <w:szCs w:val="24"/>
          <w:highlight w:val="none"/>
        </w:rPr>
        <w:t>。</w:t>
      </w:r>
    </w:p>
    <w:p>
      <w:pPr>
        <w:pageBreakBefore w:val="0"/>
        <w:widowControl w:val="0"/>
        <w:kinsoku/>
        <w:wordWrap/>
        <w:overflowPunct/>
        <w:topLinePunct w:val="0"/>
        <w:autoSpaceDE/>
        <w:autoSpaceDN/>
        <w:bidi w:val="0"/>
        <w:adjustRightInd/>
        <w:snapToGrid/>
        <w:spacing w:before="157" w:beforeLines="50" w:after="157" w:afterLines="50" w:line="360" w:lineRule="auto"/>
        <w:ind w:firstLine="424" w:firstLineChars="176"/>
        <w:jc w:val="center"/>
        <w:textAlignment w:val="auto"/>
        <w:outlineLvl w:val="9"/>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表</w:t>
      </w:r>
      <w:r>
        <w:rPr>
          <w:rFonts w:hint="eastAsia" w:ascii="Times New Roman" w:hAnsi="Times New Roman" w:eastAsia="宋体" w:cs="宋体"/>
          <w:b/>
          <w:bCs/>
          <w:color w:val="auto"/>
          <w:sz w:val="24"/>
          <w:szCs w:val="24"/>
          <w:highlight w:val="none"/>
          <w:lang w:val="en-US" w:eastAsia="zh-CN"/>
        </w:rPr>
        <w:t>5.</w:t>
      </w:r>
      <w:r>
        <w:rPr>
          <w:rFonts w:hint="eastAsia" w:eastAsia="宋体" w:cs="宋体"/>
          <w:b/>
          <w:bCs/>
          <w:color w:val="auto"/>
          <w:sz w:val="24"/>
          <w:szCs w:val="24"/>
          <w:highlight w:val="none"/>
          <w:lang w:val="en-US" w:eastAsia="zh-CN"/>
        </w:rPr>
        <w:t>2-6</w:t>
      </w:r>
      <w:r>
        <w:rPr>
          <w:rFonts w:hint="eastAsia" w:ascii="Times New Roman" w:hAnsi="Times New Roman" w:eastAsia="宋体" w:cs="宋体"/>
          <w:b/>
          <w:bCs/>
          <w:color w:val="auto"/>
          <w:sz w:val="24"/>
          <w:szCs w:val="24"/>
          <w:highlight w:val="none"/>
        </w:rPr>
        <w:t xml:space="preserve"> 建设项目大气环境影响评价自查表</w:t>
      </w:r>
    </w:p>
    <w:tbl>
      <w:tblPr>
        <w:tblStyle w:val="35"/>
        <w:tblW w:w="8752" w:type="dxa"/>
        <w:jc w:val="center"/>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5"/>
        <w:gridCol w:w="1264"/>
        <w:gridCol w:w="1062"/>
        <w:gridCol w:w="188"/>
        <w:gridCol w:w="486"/>
        <w:gridCol w:w="161"/>
        <w:gridCol w:w="295"/>
        <w:gridCol w:w="273"/>
        <w:gridCol w:w="445"/>
        <w:gridCol w:w="458"/>
        <w:gridCol w:w="660"/>
        <w:gridCol w:w="449"/>
        <w:gridCol w:w="327"/>
        <w:gridCol w:w="171"/>
        <w:gridCol w:w="158"/>
        <w:gridCol w:w="120"/>
        <w:gridCol w:w="293"/>
        <w:gridCol w:w="413"/>
        <w:gridCol w:w="87"/>
        <w:gridCol w:w="432"/>
        <w:gridCol w:w="475"/>
      </w:tblGrid>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799"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工作内容</w:t>
            </w:r>
          </w:p>
        </w:tc>
        <w:tc>
          <w:tcPr>
            <w:tcW w:w="6953" w:type="dxa"/>
            <w:gridSpan w:val="19"/>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自查项目</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评价等级与范围</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评价等级</w:t>
            </w:r>
          </w:p>
        </w:tc>
        <w:tc>
          <w:tcPr>
            <w:tcW w:w="2465" w:type="dxa"/>
            <w:gridSpan w:val="6"/>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一级</w:t>
            </w:r>
            <w:r>
              <w:rPr>
                <w:rFonts w:hint="eastAsia" w:ascii="Times New Roman" w:hAnsi="Times New Roman" w:eastAsia="宋体"/>
                <w:color w:val="auto"/>
                <w:spacing w:val="-10"/>
                <w:sz w:val="21"/>
                <w:szCs w:val="21"/>
                <w:highlight w:val="none"/>
                <w:lang w:eastAsia="zh-CN"/>
              </w:rPr>
              <w:t>□</w:t>
            </w:r>
          </w:p>
        </w:tc>
        <w:tc>
          <w:tcPr>
            <w:tcW w:w="3081"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二级</w:t>
            </w:r>
            <w:r>
              <w:rPr>
                <w:rFonts w:ascii="Times New Roman" w:hAnsi="Times New Roman" w:eastAsia="宋体"/>
                <w:color w:val="auto"/>
                <w:spacing w:val="-10"/>
                <w:sz w:val="21"/>
                <w:szCs w:val="21"/>
                <w:highlight w:val="none"/>
              </w:rPr>
              <w:sym w:font="Wingdings" w:char="00FE"/>
            </w:r>
          </w:p>
        </w:tc>
        <w:tc>
          <w:tcPr>
            <w:tcW w:w="1407"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三级□</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评价范围</w:t>
            </w:r>
          </w:p>
        </w:tc>
        <w:tc>
          <w:tcPr>
            <w:tcW w:w="2465"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边长=50km</w:t>
            </w:r>
            <w:r>
              <w:rPr>
                <w:rFonts w:ascii="Times New Roman" w:hAnsi="Times New Roman" w:eastAsia="宋体"/>
                <w:color w:val="auto"/>
                <w:spacing w:val="-10"/>
                <w:sz w:val="21"/>
                <w:szCs w:val="21"/>
                <w:highlight w:val="none"/>
              </w:rPr>
              <w:sym w:font="Wingdings" w:char="00A8"/>
            </w:r>
          </w:p>
        </w:tc>
        <w:tc>
          <w:tcPr>
            <w:tcW w:w="3081"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边长5~50km</w:t>
            </w:r>
            <w:r>
              <w:rPr>
                <w:rFonts w:ascii="Times New Roman" w:hAnsi="Times New Roman" w:eastAsia="宋体"/>
                <w:color w:val="auto"/>
                <w:spacing w:val="-10"/>
                <w:sz w:val="21"/>
                <w:szCs w:val="21"/>
                <w:highlight w:val="none"/>
              </w:rPr>
              <w:sym w:font="Wingdings" w:char="00A8"/>
            </w:r>
          </w:p>
        </w:tc>
        <w:tc>
          <w:tcPr>
            <w:tcW w:w="1407"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边长=5km</w:t>
            </w:r>
            <w:r>
              <w:rPr>
                <w:rFonts w:ascii="Times New Roman" w:hAnsi="Times New Roman" w:eastAsia="宋体"/>
                <w:color w:val="auto"/>
                <w:spacing w:val="-10"/>
                <w:sz w:val="21"/>
                <w:szCs w:val="21"/>
                <w:highlight w:val="none"/>
              </w:rPr>
              <w:sym w:font="Wingdings" w:char="00FE"/>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评价因子</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SO</w:t>
            </w:r>
            <w:r>
              <w:rPr>
                <w:rFonts w:ascii="Times New Roman" w:hAnsi="Times New Roman" w:eastAsia="宋体"/>
                <w:color w:val="auto"/>
                <w:spacing w:val="-10"/>
                <w:sz w:val="21"/>
                <w:szCs w:val="21"/>
                <w:highlight w:val="none"/>
                <w:vertAlign w:val="subscript"/>
              </w:rPr>
              <w:t>2</w:t>
            </w:r>
            <w:r>
              <w:rPr>
                <w:rFonts w:ascii="Times New Roman" w:hAnsi="Times New Roman" w:eastAsia="宋体"/>
                <w:color w:val="auto"/>
                <w:spacing w:val="-10"/>
                <w:sz w:val="21"/>
                <w:szCs w:val="21"/>
                <w:highlight w:val="none"/>
              </w:rPr>
              <w:t>+NO</w:t>
            </w:r>
            <w:r>
              <w:rPr>
                <w:rFonts w:ascii="Times New Roman" w:hAnsi="Times New Roman" w:eastAsia="宋体"/>
                <w:color w:val="auto"/>
                <w:spacing w:val="-10"/>
                <w:sz w:val="21"/>
                <w:szCs w:val="21"/>
                <w:highlight w:val="none"/>
                <w:vertAlign w:val="subscript"/>
              </w:rPr>
              <w:t>X</w:t>
            </w:r>
            <w:r>
              <w:rPr>
                <w:rFonts w:ascii="Times New Roman" w:hAnsi="Times New Roman" w:eastAsia="宋体"/>
                <w:color w:val="auto"/>
                <w:spacing w:val="-10"/>
                <w:sz w:val="21"/>
                <w:szCs w:val="21"/>
                <w:highlight w:val="none"/>
              </w:rPr>
              <w:t>排放量</w:t>
            </w:r>
          </w:p>
        </w:tc>
        <w:tc>
          <w:tcPr>
            <w:tcW w:w="2465"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≥2000t/a</w:t>
            </w:r>
            <w:r>
              <w:rPr>
                <w:rFonts w:ascii="Times New Roman" w:hAnsi="Times New Roman" w:eastAsia="宋体"/>
                <w:color w:val="auto"/>
                <w:spacing w:val="-10"/>
                <w:sz w:val="21"/>
                <w:szCs w:val="21"/>
                <w:highlight w:val="none"/>
              </w:rPr>
              <w:sym w:font="Wingdings" w:char="00A8"/>
            </w:r>
          </w:p>
        </w:tc>
        <w:tc>
          <w:tcPr>
            <w:tcW w:w="3081" w:type="dxa"/>
            <w:gridSpan w:val="9"/>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500~2000t/a</w:t>
            </w:r>
            <w:r>
              <w:rPr>
                <w:rFonts w:ascii="Times New Roman" w:hAnsi="Times New Roman" w:eastAsia="宋体"/>
                <w:color w:val="auto"/>
                <w:spacing w:val="-10"/>
                <w:sz w:val="21"/>
                <w:szCs w:val="21"/>
                <w:highlight w:val="none"/>
              </w:rPr>
              <w:sym w:font="Wingdings" w:char="00A8"/>
            </w:r>
          </w:p>
        </w:tc>
        <w:tc>
          <w:tcPr>
            <w:tcW w:w="1407"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＜500t/a</w:t>
            </w:r>
            <w:r>
              <w:rPr>
                <w:rFonts w:ascii="Times New Roman" w:hAnsi="Times New Roman" w:eastAsia="宋体"/>
                <w:color w:val="auto"/>
                <w:spacing w:val="-10"/>
                <w:sz w:val="21"/>
                <w:szCs w:val="21"/>
                <w:highlight w:val="none"/>
              </w:rPr>
              <w:sym w:font="Wingdings" w:char="00FE"/>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评价因子</w:t>
            </w:r>
          </w:p>
        </w:tc>
        <w:tc>
          <w:tcPr>
            <w:tcW w:w="5133" w:type="dxa"/>
            <w:gridSpan w:val="1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基本污染物（</w:t>
            </w:r>
            <w:r>
              <w:rPr>
                <w:rFonts w:hint="eastAsia" w:ascii="Times New Roman" w:hAnsi="Times New Roman" w:eastAsia="宋体"/>
                <w:color w:val="auto"/>
                <w:spacing w:val="-10"/>
                <w:sz w:val="21"/>
                <w:szCs w:val="21"/>
                <w:highlight w:val="none"/>
                <w:lang w:val="en-US" w:eastAsia="zh-CN"/>
              </w:rPr>
              <w:t>TSP</w:t>
            </w:r>
            <w:r>
              <w:rPr>
                <w:rFonts w:ascii="Times New Roman" w:hAnsi="Times New Roman" w:eastAsia="宋体"/>
                <w:color w:val="auto"/>
                <w:spacing w:val="-10"/>
                <w:sz w:val="21"/>
                <w:szCs w:val="21"/>
                <w:highlight w:val="none"/>
              </w:rPr>
              <w:t>）</w:t>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其他污染物（）</w:t>
            </w:r>
          </w:p>
        </w:tc>
        <w:tc>
          <w:tcPr>
            <w:tcW w:w="1820"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包括二次PM</w:t>
            </w:r>
            <w:r>
              <w:rPr>
                <w:rFonts w:ascii="Times New Roman" w:hAnsi="Times New Roman" w:eastAsia="宋体"/>
                <w:color w:val="auto"/>
                <w:spacing w:val="-10"/>
                <w:sz w:val="21"/>
                <w:szCs w:val="21"/>
                <w:highlight w:val="none"/>
                <w:vertAlign w:val="subscript"/>
              </w:rPr>
              <w:t>2.5</w:t>
            </w:r>
            <w:r>
              <w:rPr>
                <w:rFonts w:ascii="Times New Roman" w:hAnsi="Times New Roman" w:eastAsia="宋体"/>
                <w:color w:val="auto"/>
                <w:spacing w:val="-10"/>
                <w:sz w:val="21"/>
                <w:szCs w:val="21"/>
                <w:highlight w:val="none"/>
              </w:rPr>
              <w:t>□</w:t>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不包括二次PM</w:t>
            </w:r>
            <w:r>
              <w:rPr>
                <w:rFonts w:ascii="Times New Roman" w:hAnsi="Times New Roman" w:eastAsia="宋体"/>
                <w:color w:val="auto"/>
                <w:spacing w:val="-10"/>
                <w:sz w:val="21"/>
                <w:szCs w:val="21"/>
                <w:highlight w:val="none"/>
                <w:vertAlign w:val="subscript"/>
              </w:rPr>
              <w:t>2.5</w:t>
            </w:r>
            <w:r>
              <w:rPr>
                <w:rFonts w:ascii="Times New Roman" w:hAnsi="Times New Roman" w:eastAsia="宋体"/>
                <w:color w:val="auto"/>
                <w:spacing w:val="-10"/>
                <w:sz w:val="21"/>
                <w:szCs w:val="21"/>
                <w:highlight w:val="none"/>
              </w:rPr>
              <w:sym w:font="Wingdings" w:char="00FE"/>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评价标准</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评价标准</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国家标准</w:t>
            </w:r>
            <w:r>
              <w:rPr>
                <w:rFonts w:ascii="Times New Roman" w:hAnsi="Times New Roman" w:eastAsia="宋体"/>
                <w:color w:val="auto"/>
                <w:spacing w:val="-10"/>
                <w:sz w:val="21"/>
                <w:szCs w:val="21"/>
                <w:highlight w:val="none"/>
              </w:rPr>
              <w:sym w:font="Wingdings" w:char="00FE"/>
            </w:r>
          </w:p>
        </w:tc>
        <w:tc>
          <w:tcPr>
            <w:tcW w:w="2223"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b/>
                <w:color w:val="auto"/>
                <w:spacing w:val="-10"/>
                <w:sz w:val="21"/>
                <w:szCs w:val="21"/>
                <w:highlight w:val="none"/>
              </w:rPr>
            </w:pPr>
            <w:r>
              <w:rPr>
                <w:rFonts w:ascii="Times New Roman" w:hAnsi="Times New Roman" w:eastAsia="宋体"/>
                <w:color w:val="auto"/>
                <w:spacing w:val="-10"/>
                <w:sz w:val="21"/>
                <w:szCs w:val="21"/>
                <w:highlight w:val="none"/>
              </w:rPr>
              <w:t>地方标准</w:t>
            </w:r>
            <w:r>
              <w:rPr>
                <w:rFonts w:ascii="Times New Roman" w:hAnsi="Times New Roman" w:eastAsia="宋体"/>
                <w:color w:val="auto"/>
                <w:spacing w:val="-10"/>
                <w:sz w:val="21"/>
                <w:szCs w:val="21"/>
                <w:highlight w:val="none"/>
              </w:rPr>
              <w:sym w:font="Wingdings" w:char="00A8"/>
            </w:r>
          </w:p>
        </w:tc>
        <w:tc>
          <w:tcPr>
            <w:tcW w:w="913" w:type="dxa"/>
            <w:gridSpan w:val="4"/>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附录D</w:t>
            </w:r>
            <w:r>
              <w:rPr>
                <w:rFonts w:ascii="Times New Roman" w:hAnsi="Times New Roman" w:eastAsia="宋体"/>
                <w:color w:val="auto"/>
                <w:spacing w:val="-10"/>
                <w:sz w:val="21"/>
                <w:szCs w:val="21"/>
                <w:highlight w:val="none"/>
              </w:rPr>
              <w:sym w:font="Wingdings" w:char="00A8"/>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其他标准</w:t>
            </w:r>
            <w:r>
              <w:rPr>
                <w:rFonts w:hint="eastAsia" w:ascii="Times New Roman" w:hAnsi="Times New Roman"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现状评价</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环境功能区</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一类区□</w:t>
            </w:r>
          </w:p>
        </w:tc>
        <w:tc>
          <w:tcPr>
            <w:tcW w:w="234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二类区</w:t>
            </w:r>
            <w:r>
              <w:rPr>
                <w:rFonts w:ascii="Times New Roman" w:hAnsi="Times New Roman" w:eastAsia="宋体"/>
                <w:color w:val="auto"/>
                <w:spacing w:val="-10"/>
                <w:sz w:val="21"/>
                <w:szCs w:val="21"/>
                <w:highlight w:val="none"/>
              </w:rPr>
              <w:sym w:font="Wingdings" w:char="00FE"/>
            </w:r>
          </w:p>
        </w:tc>
        <w:tc>
          <w:tcPr>
            <w:tcW w:w="1700"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一类区和二类区□</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yellow"/>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评价基准年</w:t>
            </w:r>
          </w:p>
        </w:tc>
        <w:tc>
          <w:tcPr>
            <w:tcW w:w="6953" w:type="dxa"/>
            <w:gridSpan w:val="19"/>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（201</w:t>
            </w:r>
            <w:r>
              <w:rPr>
                <w:rFonts w:hint="eastAsia" w:ascii="Times New Roman" w:hAnsi="Times New Roman" w:eastAsia="宋体"/>
                <w:color w:val="auto"/>
                <w:spacing w:val="-10"/>
                <w:sz w:val="21"/>
                <w:szCs w:val="21"/>
                <w:highlight w:val="none"/>
                <w:lang w:val="en-US" w:eastAsia="zh-CN"/>
              </w:rPr>
              <w:t>9</w:t>
            </w:r>
            <w:r>
              <w:rPr>
                <w:rFonts w:ascii="Times New Roman" w:hAnsi="Times New Roman" w:eastAsia="宋体"/>
                <w:color w:val="auto"/>
                <w:spacing w:val="-10"/>
                <w:sz w:val="21"/>
                <w:szCs w:val="21"/>
                <w:highlight w:val="none"/>
              </w:rPr>
              <w:t>）年</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环境空气质量</w:t>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现状调查数据来源</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长期例行监测数据</w:t>
            </w:r>
            <w:r>
              <w:rPr>
                <w:rFonts w:ascii="Times New Roman" w:hAnsi="Times New Roman" w:eastAsia="宋体"/>
                <w:color w:val="auto"/>
                <w:spacing w:val="-10"/>
                <w:sz w:val="21"/>
                <w:szCs w:val="21"/>
                <w:highlight w:val="none"/>
              </w:rPr>
              <w:sym w:font="Wingdings" w:char="00A8"/>
            </w:r>
          </w:p>
        </w:tc>
        <w:tc>
          <w:tcPr>
            <w:tcW w:w="3136"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主管部门发布的数据</w:t>
            </w:r>
            <w:r>
              <w:rPr>
                <w:rFonts w:ascii="Times New Roman" w:hAnsi="Times New Roman" w:eastAsia="宋体"/>
                <w:color w:val="auto"/>
                <w:spacing w:val="-10"/>
                <w:sz w:val="21"/>
                <w:szCs w:val="21"/>
                <w:highlight w:val="none"/>
              </w:rPr>
              <w:sym w:font="Wingdings" w:char="00FE"/>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现状补充监测</w:t>
            </w:r>
            <w:r>
              <w:rPr>
                <w:rFonts w:hint="eastAsia" w:ascii="Times New Roman" w:hAnsi="Times New Roman"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现状评价</w:t>
            </w:r>
          </w:p>
        </w:tc>
        <w:tc>
          <w:tcPr>
            <w:tcW w:w="4477"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达标区</w:t>
            </w:r>
            <w:r>
              <w:rPr>
                <w:rFonts w:ascii="Times New Roman" w:hAnsi="Times New Roman" w:eastAsia="宋体"/>
                <w:color w:val="auto"/>
                <w:spacing w:val="-10"/>
                <w:sz w:val="21"/>
                <w:szCs w:val="21"/>
                <w:highlight w:val="none"/>
              </w:rPr>
              <w:sym w:font="Wingdings" w:char="00FE"/>
            </w:r>
          </w:p>
        </w:tc>
        <w:tc>
          <w:tcPr>
            <w:tcW w:w="2476"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不达标区</w:t>
            </w:r>
            <w:r>
              <w:rPr>
                <w:rFonts w:ascii="Times New Roman" w:hAnsi="Times New Roman" w:eastAsia="宋体"/>
                <w:color w:val="auto"/>
                <w:spacing w:val="-10"/>
                <w:sz w:val="21"/>
                <w:szCs w:val="21"/>
                <w:highlight w:val="none"/>
              </w:rPr>
              <w:sym w:font="Wingdings" w:char="00A8"/>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污染源调查</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调查内容</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本项目正常排放源</w:t>
            </w:r>
            <w:r>
              <w:rPr>
                <w:rFonts w:ascii="Times New Roman" w:hAnsi="Times New Roman" w:eastAsia="宋体"/>
                <w:color w:val="auto"/>
                <w:spacing w:val="-10"/>
                <w:sz w:val="21"/>
                <w:szCs w:val="21"/>
                <w:highlight w:val="none"/>
              </w:rPr>
              <w:sym w:font="Wingdings" w:char="00A8"/>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本项目非正常排放源</w:t>
            </w:r>
            <w:r>
              <w:rPr>
                <w:rFonts w:ascii="Times New Roman" w:hAnsi="Times New Roman" w:eastAsia="宋体"/>
                <w:color w:val="auto"/>
                <w:spacing w:val="-10"/>
                <w:sz w:val="21"/>
                <w:szCs w:val="21"/>
                <w:highlight w:val="none"/>
              </w:rPr>
              <w:sym w:font="Wingdings" w:char="00A8"/>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现有污染源</w:t>
            </w:r>
            <w:r>
              <w:rPr>
                <w:rFonts w:ascii="Times New Roman" w:hAnsi="Times New Roman" w:eastAsia="宋体"/>
                <w:color w:val="auto"/>
                <w:spacing w:val="-10"/>
                <w:sz w:val="21"/>
                <w:szCs w:val="21"/>
                <w:highlight w:val="none"/>
              </w:rPr>
              <w:sym w:font="Wingdings" w:char="00A8"/>
            </w:r>
          </w:p>
        </w:tc>
        <w:tc>
          <w:tcPr>
            <w:tcW w:w="1567"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拟替代的污染源□</w:t>
            </w:r>
          </w:p>
        </w:tc>
        <w:tc>
          <w:tcPr>
            <w:tcW w:w="1569"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其他在建、拟建项目污染源□</w:t>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区域污染源□</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大气环境影响预测与评价</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预测模型</w:t>
            </w:r>
          </w:p>
        </w:tc>
        <w:tc>
          <w:tcPr>
            <w:tcW w:w="1062"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AERMOD</w:t>
            </w:r>
            <w:r>
              <w:rPr>
                <w:rFonts w:ascii="Times New Roman" w:hAnsi="Times New Roman" w:eastAsia="宋体"/>
                <w:color w:val="auto"/>
                <w:spacing w:val="-10"/>
                <w:sz w:val="21"/>
                <w:szCs w:val="21"/>
                <w:highlight w:val="none"/>
              </w:rPr>
              <w:sym w:font="Wingdings" w:char="00FE"/>
            </w:r>
          </w:p>
        </w:tc>
        <w:tc>
          <w:tcPr>
            <w:tcW w:w="835"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ADMS□</w:t>
            </w:r>
          </w:p>
        </w:tc>
        <w:tc>
          <w:tcPr>
            <w:tcW w:w="1471"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AUSTAL2000□</w:t>
            </w:r>
          </w:p>
        </w:tc>
        <w:tc>
          <w:tcPr>
            <w:tcW w:w="1436"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EDMS/AEDT□</w:t>
            </w:r>
          </w:p>
        </w:tc>
        <w:tc>
          <w:tcPr>
            <w:tcW w:w="1155"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CALPUFF□</w:t>
            </w:r>
          </w:p>
        </w:tc>
        <w:tc>
          <w:tcPr>
            <w:tcW w:w="519"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网格模型□</w:t>
            </w:r>
          </w:p>
        </w:tc>
        <w:tc>
          <w:tcPr>
            <w:tcW w:w="475"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其他□</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预测范围</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0" w:name="_Toc23175"/>
            <w:bookmarkStart w:id="201" w:name="_Toc30101"/>
            <w:r>
              <w:rPr>
                <w:rFonts w:ascii="Times New Roman" w:hAnsi="Times New Roman" w:eastAsia="宋体"/>
                <w:color w:val="auto"/>
                <w:spacing w:val="-10"/>
                <w:sz w:val="21"/>
                <w:szCs w:val="21"/>
                <w:highlight w:val="none"/>
              </w:rPr>
              <w:t>边长≥50km</w:t>
            </w:r>
            <w:bookmarkEnd w:id="200"/>
            <w:r>
              <w:rPr>
                <w:rFonts w:ascii="Times New Roman" w:hAnsi="Times New Roman" w:eastAsia="宋体"/>
                <w:color w:val="auto"/>
                <w:spacing w:val="-10"/>
                <w:sz w:val="21"/>
                <w:szCs w:val="21"/>
                <w:highlight w:val="none"/>
              </w:rPr>
              <w:sym w:font="Wingdings" w:char="00A8"/>
            </w:r>
            <w:bookmarkEnd w:id="201"/>
          </w:p>
        </w:tc>
        <w:tc>
          <w:tcPr>
            <w:tcW w:w="234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边长5~50km</w:t>
            </w:r>
            <w:r>
              <w:rPr>
                <w:rFonts w:ascii="Times New Roman" w:hAnsi="Times New Roman" w:eastAsia="宋体"/>
                <w:color w:val="auto"/>
                <w:spacing w:val="-10"/>
                <w:sz w:val="21"/>
                <w:szCs w:val="21"/>
                <w:highlight w:val="none"/>
              </w:rPr>
              <w:sym w:font="Wingdings" w:char="00A8"/>
            </w:r>
          </w:p>
        </w:tc>
        <w:tc>
          <w:tcPr>
            <w:tcW w:w="1700" w:type="dxa"/>
            <w:gridSpan w:val="5"/>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边长=5km</w:t>
            </w:r>
            <w:r>
              <w:rPr>
                <w:rFonts w:hint="eastAsia"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预测因子</w:t>
            </w:r>
          </w:p>
        </w:tc>
        <w:tc>
          <w:tcPr>
            <w:tcW w:w="4028"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预测因子（/）</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包括二次PM</w:t>
            </w:r>
            <w:r>
              <w:rPr>
                <w:rFonts w:ascii="Times New Roman" w:hAnsi="Times New Roman" w:eastAsia="宋体"/>
                <w:color w:val="auto"/>
                <w:spacing w:val="-10"/>
                <w:sz w:val="21"/>
                <w:szCs w:val="21"/>
                <w:highlight w:val="none"/>
                <w:vertAlign w:val="subscript"/>
              </w:rPr>
              <w:t>2.5</w:t>
            </w:r>
            <w:r>
              <w:rPr>
                <w:rFonts w:ascii="Times New Roman" w:hAnsi="Times New Roman" w:eastAsia="宋体"/>
                <w:color w:val="auto"/>
                <w:spacing w:val="-10"/>
                <w:sz w:val="21"/>
                <w:szCs w:val="21"/>
                <w:highlight w:val="none"/>
              </w:rPr>
              <w:t>□</w:t>
            </w:r>
          </w:p>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不包括二次PM</w:t>
            </w:r>
            <w:r>
              <w:rPr>
                <w:rFonts w:ascii="Times New Roman" w:hAnsi="Times New Roman" w:eastAsia="宋体"/>
                <w:color w:val="auto"/>
                <w:spacing w:val="-10"/>
                <w:sz w:val="21"/>
                <w:szCs w:val="21"/>
                <w:highlight w:val="none"/>
                <w:vertAlign w:val="subscript"/>
              </w:rPr>
              <w:t>2.5</w:t>
            </w:r>
            <w:r>
              <w:rPr>
                <w:rFonts w:hint="eastAsia"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正常排放短期浓度贡献值</w:t>
            </w:r>
          </w:p>
        </w:tc>
        <w:tc>
          <w:tcPr>
            <w:tcW w:w="4028" w:type="dxa"/>
            <w:gridSpan w:val="9"/>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最大占标率≤100%</w:t>
            </w:r>
            <w:r>
              <w:rPr>
                <w:rFonts w:hint="eastAsia" w:ascii="Times New Roman" w:hAnsi="Times New Roman" w:eastAsia="宋体"/>
                <w:color w:val="auto"/>
                <w:spacing w:val="-10"/>
                <w:sz w:val="21"/>
                <w:szCs w:val="21"/>
                <w:highlight w:val="none"/>
                <w:lang w:eastAsia="zh-CN"/>
              </w:rPr>
              <w:t>☑</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正常排放年均浓度贡献值</w:t>
            </w:r>
          </w:p>
        </w:tc>
        <w:tc>
          <w:tcPr>
            <w:tcW w:w="1736"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一类区</w:t>
            </w:r>
          </w:p>
        </w:tc>
        <w:tc>
          <w:tcPr>
            <w:tcW w:w="2292"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736"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二类区</w:t>
            </w:r>
          </w:p>
        </w:tc>
        <w:tc>
          <w:tcPr>
            <w:tcW w:w="2292" w:type="dxa"/>
            <w:gridSpan w:val="6"/>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最大占标率≤30%</w:t>
            </w:r>
            <w:r>
              <w:rPr>
                <w:rFonts w:hint="eastAsia" w:eastAsia="宋体"/>
                <w:color w:val="auto"/>
                <w:spacing w:val="-10"/>
                <w:sz w:val="21"/>
                <w:szCs w:val="21"/>
                <w:highlight w:val="none"/>
                <w:lang w:eastAsia="zh-CN"/>
              </w:rPr>
              <w:t>☑</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2" w:name="_Toc17977"/>
            <w:bookmarkStart w:id="203" w:name="_Toc28170"/>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最大占标率＞30%□</w:t>
            </w:r>
            <w:bookmarkEnd w:id="202"/>
            <w:bookmarkEnd w:id="203"/>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非正常排放1h浓度贡献值</w:t>
            </w:r>
          </w:p>
        </w:tc>
        <w:tc>
          <w:tcPr>
            <w:tcW w:w="2192"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非正常持续时长（/）h</w:t>
            </w:r>
          </w:p>
        </w:tc>
        <w:tc>
          <w:tcPr>
            <w:tcW w:w="278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非正常</w:t>
            </w:r>
            <w:r>
              <w:rPr>
                <w:rFonts w:ascii="Times New Roman" w:hAnsi="Times New Roman" w:eastAsia="宋体"/>
                <w:color w:val="auto"/>
                <w:spacing w:val="-10"/>
                <w:sz w:val="21"/>
                <w:szCs w:val="21"/>
                <w:highlight w:val="none"/>
              </w:rPr>
              <w:t>占标率≤100%□</w:t>
            </w:r>
          </w:p>
        </w:tc>
        <w:tc>
          <w:tcPr>
            <w:tcW w:w="1978"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4" w:name="_Toc18694"/>
            <w:bookmarkStart w:id="205" w:name="_Toc30903"/>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非正常</w:t>
            </w:r>
            <w:r>
              <w:rPr>
                <w:rFonts w:ascii="Times New Roman" w:hAnsi="Times New Roman" w:eastAsia="宋体"/>
                <w:color w:val="auto"/>
                <w:spacing w:val="-10"/>
                <w:sz w:val="21"/>
                <w:szCs w:val="21"/>
                <w:highlight w:val="none"/>
              </w:rPr>
              <w:t>占标率＞100%□</w:t>
            </w:r>
            <w:bookmarkEnd w:id="204"/>
            <w:bookmarkEnd w:id="205"/>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保证率日平均浓度和年平均浓度叠加值</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叠加</w:t>
            </w:r>
            <w:r>
              <w:rPr>
                <w:rFonts w:ascii="Times New Roman" w:hAnsi="Times New Roman" w:eastAsia="宋体"/>
                <w:color w:val="auto"/>
                <w:spacing w:val="-10"/>
                <w:sz w:val="21"/>
                <w:szCs w:val="21"/>
                <w:highlight w:val="none"/>
              </w:rPr>
              <w:t>达标□</w:t>
            </w:r>
          </w:p>
        </w:tc>
        <w:tc>
          <w:tcPr>
            <w:tcW w:w="4043" w:type="dxa"/>
            <w:gridSpan w:val="1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叠加</w:t>
            </w:r>
            <w:r>
              <w:rPr>
                <w:rFonts w:ascii="Times New Roman" w:hAnsi="Times New Roman" w:eastAsia="宋体"/>
                <w:color w:val="auto"/>
                <w:spacing w:val="-10"/>
                <w:sz w:val="21"/>
                <w:szCs w:val="21"/>
                <w:highlight w:val="none"/>
              </w:rPr>
              <w:t>不达标□</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区域环境质量的整体变化情况</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k≤-20%□</w:t>
            </w:r>
          </w:p>
        </w:tc>
        <w:tc>
          <w:tcPr>
            <w:tcW w:w="4043" w:type="dxa"/>
            <w:gridSpan w:val="1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k＞-20%□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环境监测计划</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6" w:name="_Toc26110"/>
            <w:bookmarkStart w:id="207" w:name="_Toc8420"/>
            <w:r>
              <w:rPr>
                <w:rFonts w:ascii="Times New Roman" w:hAnsi="Times New Roman" w:eastAsia="宋体"/>
                <w:color w:val="auto"/>
                <w:spacing w:val="-10"/>
                <w:sz w:val="21"/>
                <w:szCs w:val="21"/>
                <w:highlight w:val="none"/>
              </w:rPr>
              <w:t>污染源监测</w:t>
            </w:r>
            <w:bookmarkEnd w:id="206"/>
            <w:bookmarkEnd w:id="207"/>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监测因子：（</w:t>
            </w:r>
            <w:r>
              <w:rPr>
                <w:rFonts w:hint="eastAsia" w:ascii="Times New Roman" w:hAnsi="Times New Roman" w:eastAsia="宋体"/>
                <w:color w:val="auto"/>
                <w:spacing w:val="-10"/>
                <w:sz w:val="21"/>
                <w:szCs w:val="21"/>
                <w:highlight w:val="none"/>
                <w:lang w:val="en-US" w:eastAsia="zh-CN"/>
              </w:rPr>
              <w:t>TSP</w:t>
            </w:r>
            <w:r>
              <w:rPr>
                <w:rFonts w:ascii="Times New Roman" w:hAnsi="Times New Roman" w:eastAsia="宋体"/>
                <w:color w:val="auto"/>
                <w:spacing w:val="-10"/>
                <w:sz w:val="21"/>
                <w:szCs w:val="21"/>
                <w:highlight w:val="none"/>
              </w:rPr>
              <w:t>）</w:t>
            </w:r>
          </w:p>
        </w:tc>
        <w:tc>
          <w:tcPr>
            <w:tcW w:w="3136"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有组织废气监测</w:t>
            </w:r>
            <w:r>
              <w:rPr>
                <w:rFonts w:ascii="Times New Roman" w:hAnsi="Times New Roman" w:eastAsia="宋体"/>
                <w:color w:val="auto"/>
                <w:spacing w:val="-10"/>
                <w:sz w:val="21"/>
                <w:szCs w:val="21"/>
                <w:highlight w:val="none"/>
              </w:rPr>
              <w:sym w:font="Wingdings" w:char="00A8"/>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无组织废气监测</w:t>
            </w:r>
            <w:r>
              <w:rPr>
                <w:rFonts w:ascii="Times New Roman" w:hAnsi="Times New Roman" w:eastAsia="宋体"/>
                <w:color w:val="auto"/>
                <w:spacing w:val="-10"/>
                <w:sz w:val="21"/>
                <w:szCs w:val="21"/>
                <w:highlight w:val="none"/>
              </w:rPr>
              <w:sym w:font="Wingdings" w:char="00FE"/>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无监测□</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环境质量监测</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监测因子：（/）</w:t>
            </w:r>
          </w:p>
        </w:tc>
        <w:tc>
          <w:tcPr>
            <w:tcW w:w="3136"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8" w:name="_Toc31218"/>
            <w:bookmarkStart w:id="209" w:name="_Toc8875"/>
            <w:r>
              <w:rPr>
                <w:rFonts w:ascii="Times New Roman" w:hAnsi="Times New Roman" w:eastAsia="宋体"/>
                <w:color w:val="auto"/>
                <w:spacing w:val="-10"/>
                <w:sz w:val="21"/>
                <w:szCs w:val="21"/>
                <w:highlight w:val="none"/>
              </w:rPr>
              <w:t>监测点位数（/）</w:t>
            </w:r>
            <w:bookmarkEnd w:id="208"/>
            <w:bookmarkEnd w:id="209"/>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无监测□</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评价结论</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环境影响</w:t>
            </w:r>
          </w:p>
        </w:tc>
        <w:tc>
          <w:tcPr>
            <w:tcW w:w="6953" w:type="dxa"/>
            <w:gridSpan w:val="1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可以接受</w:t>
            </w:r>
            <w:r>
              <w:rPr>
                <w:rFonts w:ascii="Times New Roman" w:hAnsi="Times New Roman" w:eastAsia="宋体"/>
                <w:color w:val="auto"/>
                <w:spacing w:val="-10"/>
                <w:sz w:val="21"/>
                <w:szCs w:val="21"/>
                <w:highlight w:val="none"/>
              </w:rPr>
              <w:sym w:font="Wingdings" w:char="00FE"/>
            </w:r>
            <w:r>
              <w:rPr>
                <w:rFonts w:ascii="Times New Roman" w:hAnsi="Times New Roman" w:eastAsia="宋体"/>
                <w:color w:val="auto"/>
                <w:spacing w:val="-10"/>
                <w:sz w:val="21"/>
                <w:szCs w:val="21"/>
                <w:highlight w:val="none"/>
              </w:rPr>
              <w:t xml:space="preserve">   不可以接受□</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大气环境防</w:t>
            </w:r>
            <w:r>
              <w:rPr>
                <w:rFonts w:hint="eastAsia" w:ascii="Times New Roman" w:hAnsi="Times New Roman" w:eastAsia="宋体"/>
                <w:color w:val="auto"/>
                <w:spacing w:val="-10"/>
                <w:sz w:val="21"/>
                <w:szCs w:val="21"/>
                <w:highlight w:val="none"/>
                <w:lang w:val="en-US" w:eastAsia="zh-CN"/>
              </w:rPr>
              <w:t>防</w:t>
            </w:r>
            <w:r>
              <w:rPr>
                <w:rFonts w:ascii="Times New Roman" w:hAnsi="Times New Roman" w:eastAsia="宋体"/>
                <w:color w:val="auto"/>
                <w:spacing w:val="-10"/>
                <w:sz w:val="21"/>
                <w:szCs w:val="21"/>
                <w:highlight w:val="none"/>
              </w:rPr>
              <w:t>护距离</w:t>
            </w:r>
          </w:p>
        </w:tc>
        <w:tc>
          <w:tcPr>
            <w:tcW w:w="6953" w:type="dxa"/>
            <w:gridSpan w:val="19"/>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距（）厂界最远（）m</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污染源年排放量</w:t>
            </w:r>
          </w:p>
        </w:tc>
        <w:tc>
          <w:tcPr>
            <w:tcW w:w="1250"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SO</w:t>
            </w:r>
            <w:r>
              <w:rPr>
                <w:rFonts w:ascii="Times New Roman" w:hAnsi="Times New Roman" w:eastAsia="宋体"/>
                <w:color w:val="auto"/>
                <w:spacing w:val="-10"/>
                <w:sz w:val="21"/>
                <w:szCs w:val="21"/>
                <w:highlight w:val="none"/>
                <w:vertAlign w:val="subscript"/>
              </w:rPr>
              <w:t>2</w:t>
            </w:r>
            <w:r>
              <w:rPr>
                <w:rFonts w:ascii="Times New Roman" w:hAnsi="Times New Roman" w:eastAsia="宋体"/>
                <w:color w:val="auto"/>
                <w:spacing w:val="-10"/>
                <w:sz w:val="21"/>
                <w:szCs w:val="21"/>
                <w:highlight w:val="none"/>
              </w:rPr>
              <w:t>：（0）t/a</w:t>
            </w:r>
          </w:p>
        </w:tc>
        <w:tc>
          <w:tcPr>
            <w:tcW w:w="1660"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NO</w:t>
            </w:r>
            <w:r>
              <w:rPr>
                <w:rFonts w:ascii="Times New Roman" w:hAnsi="Times New Roman" w:eastAsia="宋体"/>
                <w:color w:val="auto"/>
                <w:spacing w:val="-10"/>
                <w:sz w:val="21"/>
                <w:szCs w:val="21"/>
                <w:highlight w:val="none"/>
                <w:vertAlign w:val="subscript"/>
              </w:rPr>
              <w:t>X</w:t>
            </w:r>
            <w:r>
              <w:rPr>
                <w:rFonts w:ascii="Times New Roman" w:hAnsi="Times New Roman" w:eastAsia="宋体"/>
                <w:color w:val="auto"/>
                <w:spacing w:val="-10"/>
                <w:sz w:val="21"/>
                <w:szCs w:val="21"/>
                <w:highlight w:val="none"/>
              </w:rPr>
              <w:t>：（</w:t>
            </w:r>
            <w:r>
              <w:rPr>
                <w:rFonts w:hint="eastAsia" w:ascii="Times New Roman" w:hAnsi="Times New Roman" w:eastAsia="宋体"/>
                <w:color w:val="auto"/>
                <w:spacing w:val="-10"/>
                <w:sz w:val="21"/>
                <w:szCs w:val="21"/>
                <w:highlight w:val="none"/>
                <w:lang w:val="en-US" w:eastAsia="zh-CN"/>
              </w:rPr>
              <w:t>0</w:t>
            </w:r>
            <w:r>
              <w:rPr>
                <w:rFonts w:ascii="Times New Roman" w:hAnsi="Times New Roman" w:eastAsia="宋体"/>
                <w:color w:val="auto"/>
                <w:spacing w:val="-10"/>
                <w:sz w:val="21"/>
                <w:szCs w:val="21"/>
                <w:highlight w:val="none"/>
              </w:rPr>
              <w:t>）t/a</w:t>
            </w:r>
          </w:p>
        </w:tc>
        <w:tc>
          <w:tcPr>
            <w:tcW w:w="234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颗</w:t>
            </w:r>
            <w:r>
              <w:rPr>
                <w:rFonts w:ascii="Times New Roman" w:hAnsi="Times New Roman" w:eastAsia="宋体"/>
                <w:color w:val="FF0000"/>
                <w:spacing w:val="-10"/>
                <w:sz w:val="21"/>
                <w:szCs w:val="21"/>
                <w:highlight w:val="none"/>
              </w:rPr>
              <w:t>粒物：（</w:t>
            </w:r>
            <w:r>
              <w:rPr>
                <w:rFonts w:hint="eastAsia" w:eastAsia="宋体"/>
                <w:color w:val="FF0000"/>
                <w:spacing w:val="-10"/>
                <w:sz w:val="21"/>
                <w:szCs w:val="21"/>
                <w:highlight w:val="none"/>
                <w:lang w:val="en-US" w:eastAsia="zh-CN"/>
              </w:rPr>
              <w:t>0.00483</w:t>
            </w:r>
            <w:r>
              <w:rPr>
                <w:rFonts w:ascii="Times New Roman" w:hAnsi="Times New Roman" w:eastAsia="宋体"/>
                <w:color w:val="FF0000"/>
                <w:spacing w:val="-10"/>
                <w:sz w:val="21"/>
                <w:szCs w:val="21"/>
                <w:highlight w:val="none"/>
              </w:rPr>
              <w:t>）t/a</w:t>
            </w:r>
          </w:p>
        </w:tc>
        <w:tc>
          <w:tcPr>
            <w:tcW w:w="1700"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VOC</w:t>
            </w:r>
            <w:r>
              <w:rPr>
                <w:rFonts w:ascii="Times New Roman" w:hAnsi="Times New Roman" w:eastAsia="宋体"/>
                <w:color w:val="auto"/>
                <w:spacing w:val="-10"/>
                <w:sz w:val="21"/>
                <w:szCs w:val="21"/>
                <w:highlight w:val="none"/>
                <w:vertAlign w:val="subscript"/>
              </w:rPr>
              <w:t>S</w:t>
            </w:r>
            <w:r>
              <w:rPr>
                <w:rFonts w:ascii="Times New Roman" w:hAnsi="Times New Roman" w:eastAsia="宋体"/>
                <w:color w:val="auto"/>
                <w:spacing w:val="-10"/>
                <w:sz w:val="21"/>
                <w:szCs w:val="21"/>
                <w:highlight w:val="none"/>
              </w:rPr>
              <w:t>：（</w:t>
            </w:r>
            <w:r>
              <w:rPr>
                <w:rFonts w:hint="eastAsia" w:ascii="Times New Roman" w:hAnsi="Times New Roman" w:eastAsia="宋体"/>
                <w:color w:val="auto"/>
                <w:spacing w:val="-10"/>
                <w:sz w:val="21"/>
                <w:szCs w:val="21"/>
                <w:highlight w:val="none"/>
                <w:lang w:val="en-US" w:eastAsia="zh-CN"/>
              </w:rPr>
              <w:t>0</w:t>
            </w:r>
            <w:r>
              <w:rPr>
                <w:rFonts w:ascii="Times New Roman" w:hAnsi="Times New Roman" w:eastAsia="宋体"/>
                <w:color w:val="auto"/>
                <w:spacing w:val="-10"/>
                <w:sz w:val="21"/>
                <w:szCs w:val="21"/>
                <w:highlight w:val="none"/>
              </w:rPr>
              <w:t>）t/a</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52" w:type="dxa"/>
            <w:gridSpan w:val="21"/>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“□”为勾选项，填“√”；“（  ）”为内容填写项</w:t>
            </w:r>
          </w:p>
        </w:tc>
      </w:tr>
    </w:tbl>
    <w:p>
      <w:pPr>
        <w:pStyle w:val="51"/>
        <w:jc w:val="both"/>
        <w:outlineLvl w:val="9"/>
        <w:rPr>
          <w:rFonts w:ascii="Times New Roman" w:hAnsi="Times New Roman" w:eastAsia="宋体"/>
          <w:color w:val="auto"/>
          <w:highlight w:val="yellow"/>
        </w:rPr>
        <w:sectPr>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51"/>
        <w:outlineLvl w:val="9"/>
        <w:rPr>
          <w:rFonts w:ascii="Times New Roman" w:hAnsi="Times New Roman" w:eastAsia="宋体"/>
          <w:color w:val="FF0000"/>
          <w:highlight w:val="none"/>
        </w:rPr>
      </w:pPr>
      <w:r>
        <w:rPr>
          <w:rFonts w:hint="eastAsia" w:ascii="Times New Roman" w:hAnsi="Times New Roman" w:eastAsia="宋体"/>
          <w:b/>
          <w:bCs/>
          <w:color w:val="FF0000"/>
          <w:highlight w:val="none"/>
        </w:rPr>
        <w:t>表5.</w:t>
      </w:r>
      <w:r>
        <w:rPr>
          <w:rFonts w:hint="eastAsia" w:eastAsia="宋体"/>
          <w:b/>
          <w:bCs/>
          <w:color w:val="FF0000"/>
          <w:highlight w:val="none"/>
          <w:lang w:val="en-US" w:eastAsia="zh-CN"/>
        </w:rPr>
        <w:t>2-7</w:t>
      </w:r>
      <w:r>
        <w:rPr>
          <w:rFonts w:hint="eastAsia" w:ascii="Times New Roman" w:hAnsi="Times New Roman" w:eastAsia="宋体"/>
          <w:b/>
          <w:bCs/>
          <w:color w:val="FF0000"/>
          <w:highlight w:val="none"/>
        </w:rPr>
        <w:t xml:space="preserve">   本项目主要废气污染物核算一览表</w:t>
      </w:r>
    </w:p>
    <w:tbl>
      <w:tblPr>
        <w:tblStyle w:val="35"/>
        <w:tblW w:w="1344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325"/>
        <w:gridCol w:w="1250"/>
        <w:gridCol w:w="1450"/>
        <w:gridCol w:w="1300"/>
        <w:gridCol w:w="1487"/>
        <w:gridCol w:w="1500"/>
        <w:gridCol w:w="1675"/>
        <w:gridCol w:w="173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724" w:type="dxa"/>
            <w:vMerge w:val="restart"/>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排放源名称及编号</w:t>
            </w:r>
          </w:p>
        </w:tc>
        <w:tc>
          <w:tcPr>
            <w:tcW w:w="1325" w:type="dxa"/>
            <w:vMerge w:val="restart"/>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主要污染物</w:t>
            </w:r>
          </w:p>
        </w:tc>
        <w:tc>
          <w:tcPr>
            <w:tcW w:w="1250" w:type="dxa"/>
            <w:vMerge w:val="restart"/>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排放方式</w:t>
            </w:r>
          </w:p>
        </w:tc>
        <w:tc>
          <w:tcPr>
            <w:tcW w:w="1450" w:type="dxa"/>
            <w:vMerge w:val="restart"/>
            <w:tcBorders>
              <w:tl2br w:val="nil"/>
              <w:tr2bl w:val="nil"/>
            </w:tcBorders>
            <w:vAlign w:val="center"/>
          </w:tcPr>
          <w:p>
            <w:pPr>
              <w:pStyle w:val="52"/>
              <w:jc w:val="center"/>
              <w:rPr>
                <w:rFonts w:ascii="Times New Roman" w:hAnsi="Times New Roman" w:eastAsia="宋体"/>
                <w:color w:val="FF0000"/>
                <w:highlight w:val="none"/>
              </w:rPr>
            </w:pPr>
            <w:r>
              <w:rPr>
                <w:rFonts w:ascii="Times New Roman" w:hAnsi="Times New Roman" w:eastAsia="宋体"/>
                <w:color w:val="FF0000"/>
                <w:highlight w:val="none"/>
              </w:rPr>
              <w:t>治理措施</w:t>
            </w:r>
          </w:p>
        </w:tc>
        <w:tc>
          <w:tcPr>
            <w:tcW w:w="2787" w:type="dxa"/>
            <w:gridSpan w:val="2"/>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排放量</w:t>
            </w:r>
          </w:p>
        </w:tc>
        <w:tc>
          <w:tcPr>
            <w:tcW w:w="1500" w:type="dxa"/>
            <w:vMerge w:val="restart"/>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eastAsia="宋体" w:cs="宋体"/>
                <w:color w:val="FF0000"/>
                <w:highlight w:val="none"/>
              </w:rPr>
              <w:t>排放</w:t>
            </w:r>
            <w:r>
              <w:rPr>
                <w:rFonts w:ascii="Times New Roman" w:hAnsi="Times New Roman" w:eastAsia="宋体"/>
                <w:color w:val="FF0000"/>
                <w:highlight w:val="none"/>
              </w:rPr>
              <w:t>浓度</w:t>
            </w:r>
            <w:r>
              <w:rPr>
                <w:rFonts w:hint="eastAsia" w:ascii="Times New Roman" w:hAnsi="Times New Roman"/>
                <w:color w:val="FF0000"/>
                <w:highlight w:val="none"/>
                <w:lang w:val="en-US" w:eastAsia="zh-CN"/>
              </w:rPr>
              <w:t>限值</w:t>
            </w:r>
          </w:p>
          <w:p>
            <w:pPr>
              <w:pStyle w:val="52"/>
              <w:rPr>
                <w:rFonts w:ascii="Times New Roman" w:hAnsi="Times New Roman" w:eastAsia="宋体"/>
                <w:color w:val="FF0000"/>
                <w:highlight w:val="none"/>
              </w:rPr>
            </w:pPr>
            <w:r>
              <w:rPr>
                <w:rFonts w:hint="default" w:ascii="Times New Roman" w:hAnsi="Times New Roman" w:cs="Times New Roman"/>
                <w:color w:val="FF0000"/>
                <w:sz w:val="21"/>
                <w:szCs w:val="21"/>
                <w:highlight w:val="none"/>
                <w:lang w:val="en-US" w:eastAsia="zh-CN"/>
              </w:rPr>
              <w:t>μ</w:t>
            </w:r>
            <w:r>
              <w:rPr>
                <w:rFonts w:hint="eastAsia" w:ascii="Times New Roman" w:hAnsi="Times New Roman" w:cs="Times New Roman"/>
                <w:color w:val="FF0000"/>
                <w:sz w:val="21"/>
                <w:szCs w:val="21"/>
                <w:highlight w:val="none"/>
                <w:lang w:val="en-US" w:eastAsia="zh-CN"/>
              </w:rPr>
              <w:t>g/m</w:t>
            </w:r>
            <w:r>
              <w:rPr>
                <w:rFonts w:hint="eastAsia" w:ascii="Times New Roman" w:hAnsi="Times New Roman" w:cs="Times New Roman"/>
                <w:color w:val="FF0000"/>
                <w:sz w:val="21"/>
                <w:szCs w:val="21"/>
                <w:highlight w:val="none"/>
                <w:vertAlign w:val="superscript"/>
                <w:lang w:val="en-US" w:eastAsia="zh-CN"/>
              </w:rPr>
              <w:t>3</w:t>
            </w:r>
          </w:p>
        </w:tc>
        <w:tc>
          <w:tcPr>
            <w:tcW w:w="1675" w:type="dxa"/>
            <w:vMerge w:val="restart"/>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s="宋体"/>
                <w:color w:val="FF0000"/>
                <w:highlight w:val="none"/>
              </w:rPr>
              <w:t>净化效率(%)</w:t>
            </w:r>
          </w:p>
        </w:tc>
        <w:tc>
          <w:tcPr>
            <w:tcW w:w="1735" w:type="dxa"/>
            <w:vMerge w:val="restart"/>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排放量</w:t>
            </w:r>
            <w:r>
              <w:rPr>
                <w:rFonts w:hint="eastAsia" w:ascii="Times New Roman" w:hAnsi="Times New Roman"/>
                <w:color w:val="FF0000"/>
                <w:highlight w:val="none"/>
                <w:lang w:val="en-US" w:eastAsia="zh-CN"/>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24" w:type="dxa"/>
            <w:vMerge w:val="continue"/>
            <w:tcBorders>
              <w:tl2br w:val="nil"/>
              <w:tr2bl w:val="nil"/>
            </w:tcBorders>
            <w:vAlign w:val="center"/>
          </w:tcPr>
          <w:p>
            <w:pPr>
              <w:pStyle w:val="52"/>
              <w:rPr>
                <w:rFonts w:ascii="Times New Roman" w:hAnsi="Times New Roman" w:eastAsia="宋体"/>
                <w:color w:val="FF0000"/>
                <w:highlight w:val="none"/>
              </w:rPr>
            </w:pPr>
          </w:p>
        </w:tc>
        <w:tc>
          <w:tcPr>
            <w:tcW w:w="1325" w:type="dxa"/>
            <w:vMerge w:val="continue"/>
            <w:tcBorders>
              <w:tl2br w:val="nil"/>
              <w:tr2bl w:val="nil"/>
            </w:tcBorders>
            <w:vAlign w:val="center"/>
          </w:tcPr>
          <w:p>
            <w:pPr>
              <w:pStyle w:val="52"/>
              <w:rPr>
                <w:rFonts w:ascii="Times New Roman" w:hAnsi="Times New Roman" w:eastAsia="宋体"/>
                <w:color w:val="FF0000"/>
                <w:highlight w:val="none"/>
              </w:rPr>
            </w:pPr>
          </w:p>
        </w:tc>
        <w:tc>
          <w:tcPr>
            <w:tcW w:w="1250" w:type="dxa"/>
            <w:vMerge w:val="continue"/>
            <w:tcBorders>
              <w:tl2br w:val="nil"/>
              <w:tr2bl w:val="nil"/>
            </w:tcBorders>
            <w:vAlign w:val="center"/>
          </w:tcPr>
          <w:p>
            <w:pPr>
              <w:pStyle w:val="52"/>
              <w:rPr>
                <w:rFonts w:ascii="Times New Roman" w:hAnsi="Times New Roman" w:eastAsia="宋体"/>
                <w:color w:val="FF0000"/>
                <w:highlight w:val="none"/>
              </w:rPr>
            </w:pPr>
          </w:p>
        </w:tc>
        <w:tc>
          <w:tcPr>
            <w:tcW w:w="1450" w:type="dxa"/>
            <w:vMerge w:val="continue"/>
            <w:tcBorders>
              <w:tl2br w:val="nil"/>
              <w:tr2bl w:val="nil"/>
            </w:tcBorders>
            <w:vAlign w:val="center"/>
          </w:tcPr>
          <w:p>
            <w:pPr>
              <w:pStyle w:val="52"/>
              <w:rPr>
                <w:rFonts w:ascii="Times New Roman" w:hAnsi="Times New Roman" w:eastAsia="宋体"/>
                <w:color w:val="FF0000"/>
                <w:highlight w:val="none"/>
              </w:rPr>
            </w:pPr>
          </w:p>
        </w:tc>
        <w:tc>
          <w:tcPr>
            <w:tcW w:w="1300" w:type="dxa"/>
            <w:tcBorders>
              <w:tl2br w:val="nil"/>
              <w:tr2bl w:val="nil"/>
            </w:tcBorders>
            <w:vAlign w:val="center"/>
          </w:tcPr>
          <w:p>
            <w:pPr>
              <w:pStyle w:val="52"/>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浓度</w:t>
            </w:r>
          </w:p>
          <w:p>
            <w:pPr>
              <w:pStyle w:val="52"/>
              <w:rPr>
                <w:rFonts w:ascii="Times New Roman" w:hAnsi="Times New Roman" w:eastAsia="宋体"/>
                <w:color w:val="FF0000"/>
                <w:sz w:val="21"/>
                <w:szCs w:val="21"/>
                <w:highlight w:val="none"/>
              </w:rPr>
            </w:pPr>
            <w:r>
              <w:rPr>
                <w:rFonts w:hint="default" w:ascii="Times New Roman" w:hAnsi="Times New Roman" w:cs="Times New Roman"/>
                <w:color w:val="FF0000"/>
                <w:sz w:val="21"/>
                <w:szCs w:val="21"/>
                <w:highlight w:val="none"/>
                <w:lang w:val="en-US" w:eastAsia="zh-CN"/>
              </w:rPr>
              <w:t>μ</w:t>
            </w:r>
            <w:r>
              <w:rPr>
                <w:rFonts w:hint="eastAsia" w:ascii="Times New Roman" w:hAnsi="Times New Roman" w:cs="Times New Roman"/>
                <w:color w:val="FF0000"/>
                <w:sz w:val="21"/>
                <w:szCs w:val="21"/>
                <w:highlight w:val="none"/>
                <w:lang w:val="en-US" w:eastAsia="zh-CN"/>
              </w:rPr>
              <w:t>g/m</w:t>
            </w:r>
            <w:r>
              <w:rPr>
                <w:rFonts w:hint="eastAsia" w:ascii="Times New Roman" w:hAnsi="Times New Roman" w:cs="Times New Roman"/>
                <w:color w:val="FF0000"/>
                <w:sz w:val="21"/>
                <w:szCs w:val="21"/>
                <w:highlight w:val="none"/>
                <w:vertAlign w:val="superscript"/>
                <w:lang w:val="en-US" w:eastAsia="zh-CN"/>
              </w:rPr>
              <w:t>3</w:t>
            </w:r>
          </w:p>
        </w:tc>
        <w:tc>
          <w:tcPr>
            <w:tcW w:w="1487"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速率</w:t>
            </w:r>
          </w:p>
          <w:p>
            <w:pPr>
              <w:pStyle w:val="52"/>
              <w:rPr>
                <w:rFonts w:ascii="Times New Roman" w:hAnsi="Times New Roman" w:eastAsia="宋体"/>
                <w:color w:val="FF0000"/>
                <w:highlight w:val="none"/>
              </w:rPr>
            </w:pPr>
            <w:r>
              <w:rPr>
                <w:rFonts w:ascii="Times New Roman" w:hAnsi="Times New Roman" w:eastAsia="宋体"/>
                <w:color w:val="FF0000"/>
                <w:highlight w:val="none"/>
                <w:lang w:val="pt-BR"/>
              </w:rPr>
              <w:t>kg/h</w:t>
            </w:r>
          </w:p>
        </w:tc>
        <w:tc>
          <w:tcPr>
            <w:tcW w:w="1500" w:type="dxa"/>
            <w:vMerge w:val="continue"/>
            <w:tcBorders>
              <w:tl2br w:val="nil"/>
              <w:tr2bl w:val="nil"/>
            </w:tcBorders>
            <w:vAlign w:val="center"/>
          </w:tcPr>
          <w:p>
            <w:pPr>
              <w:pStyle w:val="52"/>
              <w:rPr>
                <w:rFonts w:ascii="Times New Roman" w:hAnsi="Times New Roman" w:eastAsia="宋体"/>
                <w:color w:val="FF0000"/>
                <w:highlight w:val="none"/>
              </w:rPr>
            </w:pPr>
          </w:p>
        </w:tc>
        <w:tc>
          <w:tcPr>
            <w:tcW w:w="1675" w:type="dxa"/>
            <w:vMerge w:val="continue"/>
            <w:tcBorders>
              <w:tl2br w:val="nil"/>
              <w:tr2bl w:val="nil"/>
            </w:tcBorders>
            <w:vAlign w:val="center"/>
          </w:tcPr>
          <w:p>
            <w:pPr>
              <w:pStyle w:val="52"/>
              <w:rPr>
                <w:rFonts w:ascii="Times New Roman" w:hAnsi="Times New Roman" w:eastAsia="宋体"/>
                <w:color w:val="FF0000"/>
                <w:highlight w:val="none"/>
              </w:rPr>
            </w:pPr>
          </w:p>
        </w:tc>
        <w:tc>
          <w:tcPr>
            <w:tcW w:w="1735" w:type="dxa"/>
            <w:vMerge w:val="continue"/>
            <w:tcBorders>
              <w:tl2br w:val="nil"/>
              <w:tr2bl w:val="nil"/>
            </w:tcBorders>
            <w:vAlign w:val="center"/>
          </w:tcPr>
          <w:p>
            <w:pPr>
              <w:pStyle w:val="52"/>
              <w:rPr>
                <w:rFonts w:ascii="Times New Roman" w:hAnsi="Times New Roman" w:eastAsia="宋体"/>
                <w:color w:val="FF000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2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color w:val="FF0000"/>
                <w:highlight w:val="none"/>
                <w:lang w:val="en-US" w:eastAsia="zh-CN"/>
              </w:rPr>
              <w:t>采砂场</w:t>
            </w:r>
          </w:p>
        </w:tc>
        <w:tc>
          <w:tcPr>
            <w:tcW w:w="1325" w:type="dxa"/>
            <w:tcBorders>
              <w:tl2br w:val="nil"/>
              <w:tr2bl w:val="nil"/>
            </w:tcBorders>
            <w:vAlign w:val="center"/>
          </w:tcPr>
          <w:p>
            <w:pPr>
              <w:pStyle w:val="52"/>
              <w:rPr>
                <w:rFonts w:hint="eastAsia" w:ascii="Times New Roman" w:hAnsi="Times New Roman" w:eastAsia="宋体"/>
                <w:color w:val="FF0000"/>
                <w:highlight w:val="none"/>
              </w:rPr>
            </w:pPr>
            <w:r>
              <w:rPr>
                <w:rFonts w:hint="eastAsia" w:ascii="Times New Roman" w:hAnsi="Times New Roman"/>
                <w:color w:val="FF0000"/>
                <w:highlight w:val="none"/>
                <w:lang w:val="en-US" w:eastAsia="zh-CN"/>
              </w:rPr>
              <w:t>颗粒物</w:t>
            </w:r>
          </w:p>
        </w:tc>
        <w:tc>
          <w:tcPr>
            <w:tcW w:w="12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喷雾</w:t>
            </w:r>
            <w:r>
              <w:rPr>
                <w:rFonts w:hint="eastAsia" w:ascii="Times New Roman" w:hAnsi="Times New Roman"/>
                <w:color w:val="FF0000"/>
                <w:highlight w:val="none"/>
                <w:lang w:val="en-US" w:eastAsia="zh-CN"/>
              </w:rPr>
              <w:t>降尘</w:t>
            </w:r>
          </w:p>
        </w:tc>
        <w:tc>
          <w:tcPr>
            <w:tcW w:w="13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73.63</w:t>
            </w:r>
          </w:p>
        </w:tc>
        <w:tc>
          <w:tcPr>
            <w:tcW w:w="1487"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eastAsia="宋体"/>
                <w:color w:val="FF0000"/>
                <w:highlight w:val="none"/>
                <w:lang w:val="en-US" w:eastAsia="zh-CN"/>
              </w:rPr>
              <w:t>0.002</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去除效率99%</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0.00</w:t>
            </w:r>
            <w:r>
              <w:rPr>
                <w:rFonts w:hint="eastAsia"/>
                <w:color w:val="FF0000"/>
                <w:highlight w:val="none"/>
                <w:lang w:val="en-US" w:eastAsia="zh-CN"/>
              </w:rPr>
              <w:t>384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24"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回填区作业面</w:t>
            </w:r>
          </w:p>
        </w:tc>
        <w:tc>
          <w:tcPr>
            <w:tcW w:w="132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颗粒物</w:t>
            </w:r>
          </w:p>
        </w:tc>
        <w:tc>
          <w:tcPr>
            <w:tcW w:w="12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洒水降尘</w:t>
            </w:r>
          </w:p>
        </w:tc>
        <w:tc>
          <w:tcPr>
            <w:tcW w:w="1300"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0.07</w:t>
            </w:r>
          </w:p>
        </w:tc>
        <w:tc>
          <w:tcPr>
            <w:tcW w:w="1487" w:type="dxa"/>
            <w:tcBorders>
              <w:tl2br w:val="nil"/>
              <w:tr2bl w:val="nil"/>
            </w:tcBorders>
            <w:vAlign w:val="center"/>
          </w:tcPr>
          <w:p>
            <w:pPr>
              <w:pStyle w:val="52"/>
              <w:rPr>
                <w:rFonts w:hint="default" w:eastAsia="宋体"/>
                <w:color w:val="FF0000"/>
                <w:highlight w:val="none"/>
                <w:lang w:val="en-US" w:eastAsia="zh-CN"/>
              </w:rPr>
            </w:pPr>
            <w:r>
              <w:rPr>
                <w:rFonts w:hint="eastAsia"/>
                <w:color w:val="FF0000"/>
                <w:highlight w:val="none"/>
                <w:lang w:val="en-US" w:eastAsia="zh-CN"/>
              </w:rPr>
              <w:t>0.000065</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w:t>
            </w:r>
            <w:r>
              <w:rPr>
                <w:rFonts w:hint="eastAsia"/>
                <w:color w:val="FF0000"/>
                <w:highlight w:val="none"/>
                <w:lang w:val="en-US" w:eastAsia="zh-CN"/>
              </w:rPr>
              <w:t>50</w:t>
            </w:r>
            <w:r>
              <w:rPr>
                <w:rFonts w:hint="eastAsia" w:ascii="Times New Roman" w:hAnsi="Times New Roman"/>
                <w:color w:val="FF0000"/>
                <w:highlight w:val="none"/>
                <w:lang w:val="en-US" w:eastAsia="zh-CN"/>
              </w:rPr>
              <w:t>%</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0.000125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24"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筛分工序</w:t>
            </w:r>
          </w:p>
        </w:tc>
        <w:tc>
          <w:tcPr>
            <w:tcW w:w="132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颗粒物</w:t>
            </w:r>
          </w:p>
        </w:tc>
        <w:tc>
          <w:tcPr>
            <w:tcW w:w="12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color w:val="FF0000"/>
                <w:highlight w:val="none"/>
                <w:lang w:val="en-US" w:eastAsia="zh-CN"/>
              </w:rPr>
              <w:t>喷雾</w:t>
            </w:r>
            <w:r>
              <w:rPr>
                <w:rFonts w:hint="eastAsia" w:ascii="Times New Roman" w:hAnsi="Times New Roman"/>
                <w:color w:val="FF0000"/>
                <w:highlight w:val="none"/>
                <w:lang w:val="en-US" w:eastAsia="zh-CN"/>
              </w:rPr>
              <w:t>降尘</w:t>
            </w:r>
          </w:p>
        </w:tc>
        <w:tc>
          <w:tcPr>
            <w:tcW w:w="1300"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62.93</w:t>
            </w:r>
          </w:p>
        </w:tc>
        <w:tc>
          <w:tcPr>
            <w:tcW w:w="1487" w:type="dxa"/>
            <w:tcBorders>
              <w:tl2br w:val="nil"/>
              <w:tr2bl w:val="nil"/>
            </w:tcBorders>
            <w:vAlign w:val="center"/>
          </w:tcPr>
          <w:p>
            <w:pPr>
              <w:pStyle w:val="52"/>
              <w:rPr>
                <w:rFonts w:hint="default" w:eastAsia="宋体"/>
                <w:color w:val="FF0000"/>
                <w:highlight w:val="none"/>
                <w:lang w:val="en-US" w:eastAsia="zh-CN"/>
              </w:rPr>
            </w:pPr>
            <w:r>
              <w:rPr>
                <w:rFonts w:hint="eastAsia"/>
                <w:color w:val="FF0000"/>
                <w:highlight w:val="none"/>
                <w:lang w:val="en-US" w:eastAsia="zh-CN"/>
              </w:rPr>
              <w:t>0.000013</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去除效率99%</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0.0000256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2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color w:val="FF0000"/>
                <w:highlight w:val="none"/>
                <w:lang w:val="en-US" w:eastAsia="zh-CN"/>
              </w:rPr>
              <w:t>成品</w:t>
            </w:r>
            <w:r>
              <w:rPr>
                <w:rFonts w:hint="eastAsia" w:ascii="Times New Roman" w:hAnsi="Times New Roman"/>
                <w:color w:val="FF0000"/>
                <w:highlight w:val="none"/>
                <w:lang w:val="en-US" w:eastAsia="zh-CN"/>
              </w:rPr>
              <w:t>堆场</w:t>
            </w:r>
          </w:p>
        </w:tc>
        <w:tc>
          <w:tcPr>
            <w:tcW w:w="132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颗粒物</w:t>
            </w:r>
          </w:p>
        </w:tc>
        <w:tc>
          <w:tcPr>
            <w:tcW w:w="12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color w:val="FF0000"/>
                <w:highlight w:val="none"/>
                <w:lang w:val="en-US" w:eastAsia="zh-CN"/>
              </w:rPr>
              <w:t>苫盖</w:t>
            </w:r>
            <w:r>
              <w:rPr>
                <w:rFonts w:hint="eastAsia" w:ascii="Times New Roman" w:hAnsi="Times New Roman"/>
                <w:color w:val="FF0000"/>
                <w:highlight w:val="none"/>
                <w:lang w:val="en-US" w:eastAsia="zh-CN"/>
              </w:rPr>
              <w:t>降尘</w:t>
            </w:r>
          </w:p>
        </w:tc>
        <w:tc>
          <w:tcPr>
            <w:tcW w:w="13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8.14</w:t>
            </w:r>
          </w:p>
        </w:tc>
        <w:tc>
          <w:tcPr>
            <w:tcW w:w="1487"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eastAsia="宋体"/>
                <w:color w:val="FF0000"/>
                <w:highlight w:val="none"/>
                <w:lang w:val="en-US" w:eastAsia="zh-CN"/>
              </w:rPr>
              <w:t>0.000</w:t>
            </w:r>
            <w:r>
              <w:rPr>
                <w:rFonts w:hint="eastAsia" w:eastAsia="宋体"/>
                <w:color w:val="FF0000"/>
                <w:highlight w:val="none"/>
                <w:lang w:val="en-US" w:eastAsia="zh-CN"/>
              </w:rPr>
              <w:t>11</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w:t>
            </w:r>
            <w:r>
              <w:rPr>
                <w:rFonts w:hint="eastAsia"/>
                <w:color w:val="FF0000"/>
                <w:highlight w:val="none"/>
                <w:lang w:val="en-US" w:eastAsia="zh-CN"/>
              </w:rPr>
              <w:t>0</w:t>
            </w:r>
            <w:r>
              <w:rPr>
                <w:rFonts w:hint="eastAsia" w:ascii="Times New Roman" w:hAnsi="Times New Roman"/>
                <w:color w:val="FF0000"/>
                <w:highlight w:val="none"/>
                <w:lang w:val="en-US" w:eastAsia="zh-CN"/>
              </w:rPr>
              <w:t>%</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0.00</w:t>
            </w:r>
            <w:r>
              <w:rPr>
                <w:rFonts w:hint="eastAsia"/>
                <w:color w:val="FF0000"/>
                <w:highlight w:val="none"/>
                <w:lang w:val="en-US" w:eastAsia="zh-CN"/>
              </w:rPr>
              <w:t>021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2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运输道路</w:t>
            </w:r>
          </w:p>
        </w:tc>
        <w:tc>
          <w:tcPr>
            <w:tcW w:w="132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颗粒物</w:t>
            </w:r>
          </w:p>
        </w:tc>
        <w:tc>
          <w:tcPr>
            <w:tcW w:w="12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洒水降尘</w:t>
            </w:r>
          </w:p>
        </w:tc>
        <w:tc>
          <w:tcPr>
            <w:tcW w:w="13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58.53</w:t>
            </w:r>
          </w:p>
        </w:tc>
        <w:tc>
          <w:tcPr>
            <w:tcW w:w="1487"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0.000328</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去除效率99%</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0.0</w:t>
            </w:r>
            <w:r>
              <w:rPr>
                <w:rFonts w:hint="eastAsia"/>
                <w:color w:val="FF0000"/>
                <w:highlight w:val="none"/>
                <w:lang w:val="en-US" w:eastAsia="zh-CN"/>
              </w:rPr>
              <w:t>0063</w:t>
            </w:r>
          </w:p>
        </w:tc>
      </w:tr>
    </w:tbl>
    <w:p>
      <w:pPr>
        <w:ind w:left="0" w:leftChars="0" w:firstLine="0" w:firstLineChars="0"/>
        <w:rPr>
          <w:rFonts w:ascii="Times New Roman" w:hAnsi="Times New Roman" w:eastAsia="宋体"/>
          <w:color w:val="auto"/>
          <w:highlight w:val="yellow"/>
        </w:rPr>
        <w:sectPr>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45" w:charSpace="0"/>
        </w:sectPr>
      </w:pP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rPr>
          <w:rFonts w:ascii="Times New Roman" w:hAnsi="Times New Roman" w:eastAsia="宋体"/>
          <w:b/>
          <w:bCs w:val="0"/>
          <w:color w:val="auto"/>
          <w:highlight w:val="none"/>
        </w:rPr>
      </w:pPr>
      <w:bookmarkStart w:id="210" w:name="_Toc7832"/>
      <w:r>
        <w:rPr>
          <w:rFonts w:hint="eastAsia" w:ascii="Times New Roman" w:hAnsi="Times New Roman" w:eastAsia="宋体"/>
          <w:b/>
          <w:bCs w:val="0"/>
          <w:color w:val="auto"/>
          <w:highlight w:val="none"/>
        </w:rPr>
        <w:t>5.</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rPr>
        <w:t xml:space="preserve"> 水环境影响分析</w:t>
      </w:r>
      <w:bookmarkEnd w:id="21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auto"/>
          <w:highlight w:val="none"/>
        </w:rPr>
        <w:t>本项目废水</w:t>
      </w:r>
      <w:r>
        <w:rPr>
          <w:rFonts w:hint="eastAsia" w:ascii="Times New Roman" w:hAnsi="Times New Roman" w:eastAsia="宋体"/>
          <w:color w:val="000000" w:themeColor="text1"/>
          <w:highlight w:val="none"/>
          <w14:textFill>
            <w14:solidFill>
              <w14:schemeClr w14:val="tx1"/>
            </w14:solidFill>
          </w14:textFill>
        </w:rPr>
        <w:t>污染源为</w:t>
      </w:r>
      <w:r>
        <w:rPr>
          <w:rFonts w:hint="eastAsia" w:eastAsia="宋体"/>
          <w:color w:val="000000" w:themeColor="text1"/>
          <w:highlight w:val="none"/>
          <w:lang w:val="en-US" w:eastAsia="zh-CN"/>
          <w14:textFill>
            <w14:solidFill>
              <w14:schemeClr w14:val="tx1"/>
            </w14:solidFill>
          </w14:textFill>
        </w:rPr>
        <w:t>洗砂废水及</w:t>
      </w:r>
      <w:r>
        <w:rPr>
          <w:rFonts w:hint="eastAsia" w:ascii="Times New Roman" w:hAnsi="Times New Roman" w:eastAsia="宋体"/>
          <w:color w:val="000000" w:themeColor="text1"/>
          <w:highlight w:val="none"/>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洗砂废水</w:t>
      </w:r>
    </w:p>
    <w:p>
      <w:pPr>
        <w:adjustRightInd w:val="0"/>
        <w:snapToGrid w:val="0"/>
        <w:spacing w:line="360" w:lineRule="auto"/>
        <w:ind w:firstLine="480" w:firstLineChars="200"/>
        <w:rPr>
          <w:rFonts w:hint="default" w:ascii="Times New Roman" w:hAnsi="Times New Roman" w:eastAsia="宋体"/>
          <w:color w:val="000000" w:themeColor="text1"/>
          <w:sz w:val="24"/>
          <w:szCs w:val="24"/>
          <w:highlight w:val="yellow"/>
          <w:lang w:val="en-US"/>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根据本项目工程</w:t>
      </w:r>
      <w:r>
        <w:rPr>
          <w:rFonts w:hint="eastAsia" w:ascii="Times New Roman" w:hAnsi="Times New Roman" w:eastAsia="宋体"/>
          <w:bCs/>
          <w:sz w:val="24"/>
          <w:szCs w:val="24"/>
          <w:highlight w:val="none"/>
        </w:rPr>
        <w:t>分析结果，该项目</w:t>
      </w:r>
      <w:r>
        <w:rPr>
          <w:rFonts w:hint="eastAsia" w:eastAsia="宋体"/>
          <w:b w:val="0"/>
          <w:bCs/>
          <w:color w:val="auto"/>
          <w:highlight w:val="none"/>
          <w:lang w:val="en-US" w:eastAsia="zh-CN"/>
        </w:rPr>
        <w:t>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生活污水</w:t>
      </w:r>
    </w:p>
    <w:p>
      <w:pPr>
        <w:ind w:left="0" w:leftChars="0" w:firstLine="480" w:firstLineChars="200"/>
        <w:rPr>
          <w:rFonts w:hint="eastAsia" w:ascii="Times New Roman" w:hAnsi="Times New Roman" w:eastAsia="宋体" w:cs="宋体"/>
          <w:b w:val="0"/>
          <w:bCs/>
          <w:color w:val="auto"/>
          <w:sz w:val="24"/>
          <w:szCs w:val="24"/>
          <w:highlight w:val="yellow"/>
        </w:rPr>
      </w:pPr>
      <w:r>
        <w:rPr>
          <w:rFonts w:hint="eastAsia"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eastAsia="宋体"/>
          <w:color w:val="auto"/>
          <w:highlight w:val="none"/>
          <w:lang w:val="en-US" w:eastAsia="zh-CN"/>
        </w:rPr>
        <w:t>使用</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w:t>
      </w:r>
      <w:r>
        <w:rPr>
          <w:rFonts w:hint="eastAsia" w:eastAsia="宋体"/>
          <w:color w:val="auto"/>
          <w:highlight w:val="none"/>
          <w:lang w:val="en-US" w:eastAsia="zh-CN"/>
        </w:rPr>
        <w:t>朱日和镇</w:t>
      </w:r>
      <w:r>
        <w:rPr>
          <w:rFonts w:hint="eastAsia" w:ascii="Times New Roman" w:hAnsi="Times New Roman" w:eastAsia="宋体"/>
          <w:color w:val="auto"/>
          <w:highlight w:val="none"/>
          <w:lang w:val="en-US" w:eastAsia="zh-CN"/>
        </w:rPr>
        <w:t>生活污水处理厂进行进一步处理</w:t>
      </w:r>
      <w:r>
        <w:rPr>
          <w:rFonts w:hint="eastAsia" w:ascii="Times New Roman" w:hAnsi="Times New Roman" w:eastAsia="宋体"/>
          <w:color w:val="auto"/>
          <w:highlight w:val="none"/>
        </w:rPr>
        <w:t>。</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default" w:ascii="Times New Roman" w:hAnsi="Times New Roman" w:eastAsia="宋体"/>
          <w:b/>
          <w:bCs w:val="0"/>
          <w:color w:val="auto"/>
          <w:highlight w:val="none"/>
          <w:lang w:val="en-US" w:eastAsia="zh-CN"/>
        </w:rPr>
      </w:pPr>
      <w:bookmarkStart w:id="211" w:name="_Toc1444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噪声环境影响分析</w:t>
      </w:r>
      <w:bookmarkEnd w:id="211"/>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212" w:name="_Toc1299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.1 工业场地噪声</w:t>
      </w:r>
      <w:bookmarkEnd w:id="212"/>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 xml:space="preserve">.1.1 </w:t>
      </w:r>
      <w:r>
        <w:rPr>
          <w:rFonts w:hint="eastAsia" w:ascii="Times New Roman" w:hAnsi="Times New Roman" w:eastAsia="宋体" w:cs="宋体"/>
          <w:b/>
          <w:bCs w:val="0"/>
          <w:color w:val="auto"/>
          <w:sz w:val="24"/>
          <w:szCs w:val="24"/>
          <w:highlight w:val="none"/>
          <w:lang w:eastAsia="zh-CN"/>
        </w:rPr>
        <w:t>预测内容</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⑴厂界（或边界）噪声预测</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预测</w:t>
      </w:r>
      <w:r>
        <w:rPr>
          <w:rFonts w:hint="eastAsia" w:eastAsia="宋体" w:cs="宋体"/>
          <w:b w:val="0"/>
          <w:bCs/>
          <w:color w:val="auto"/>
          <w:sz w:val="24"/>
          <w:szCs w:val="24"/>
          <w:highlight w:val="none"/>
          <w:lang w:val="en-US" w:eastAsia="zh-CN"/>
        </w:rPr>
        <w:t>洗砂机</w:t>
      </w:r>
      <w:r>
        <w:rPr>
          <w:rFonts w:hint="eastAsia" w:ascii="Times New Roman" w:hAnsi="Times New Roman" w:eastAsia="宋体" w:cs="宋体"/>
          <w:b w:val="0"/>
          <w:bCs/>
          <w:color w:val="auto"/>
          <w:sz w:val="24"/>
          <w:szCs w:val="24"/>
          <w:highlight w:val="none"/>
          <w:lang w:eastAsia="zh-CN"/>
        </w:rPr>
        <w:t>工业场地厂界噪声，给出厂界噪声的最大贡献值及位置。</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⑵根据厂界受影响的状况，明确影响厂界和周围声环境功能区声环境质量的主要声源，分析厂界的达标情况。</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13" w:name="2、预测模式"/>
      <w:bookmarkEnd w:id="213"/>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.1.2</w:t>
      </w:r>
      <w:r>
        <w:rPr>
          <w:rFonts w:hint="eastAsia" w:ascii="Times New Roman" w:hAnsi="Times New Roman" w:eastAsia="宋体" w:cs="宋体"/>
          <w:b/>
          <w:bCs w:val="0"/>
          <w:color w:val="auto"/>
          <w:sz w:val="24"/>
          <w:szCs w:val="24"/>
          <w:highlight w:val="none"/>
          <w:lang w:eastAsia="zh-CN"/>
        </w:rPr>
        <w:t>预测模式</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⑴噪声源强</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本项目噪声影响主要是工业场地</w:t>
      </w:r>
      <w:r>
        <w:rPr>
          <w:rFonts w:hint="eastAsia" w:eastAsia="宋体" w:cs="宋体"/>
          <w:b w:val="0"/>
          <w:bCs/>
          <w:color w:val="auto"/>
          <w:sz w:val="24"/>
          <w:szCs w:val="24"/>
          <w:highlight w:val="none"/>
          <w:lang w:val="en-US" w:eastAsia="zh-CN"/>
        </w:rPr>
        <w:t>洗砂机</w:t>
      </w:r>
      <w:r>
        <w:rPr>
          <w:rFonts w:hint="eastAsia" w:ascii="Times New Roman" w:hAnsi="Times New Roman" w:eastAsia="宋体" w:cs="宋体"/>
          <w:b w:val="0"/>
          <w:bCs/>
          <w:color w:val="auto"/>
          <w:sz w:val="24"/>
          <w:szCs w:val="24"/>
          <w:highlight w:val="none"/>
          <w:lang w:eastAsia="zh-CN"/>
        </w:rPr>
        <w:t>产生的噪声。 噪声源强详见表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w:t>
      </w:r>
    </w:p>
    <w:p>
      <w:pPr>
        <w:ind w:left="0" w:leftChars="0" w:firstLine="0" w:firstLineChars="0"/>
        <w:jc w:val="center"/>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-1</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噪声源强状况表</w:t>
      </w:r>
    </w:p>
    <w:tbl>
      <w:tblPr>
        <w:tblStyle w:val="35"/>
        <w:tblW w:w="852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1288"/>
        <w:gridCol w:w="1085"/>
        <w:gridCol w:w="846"/>
        <w:gridCol w:w="1139"/>
        <w:gridCol w:w="2032"/>
        <w:gridCol w:w="161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exact"/>
          <w:jc w:val="center"/>
        </w:trPr>
        <w:tc>
          <w:tcPr>
            <w:tcW w:w="52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序号</w:t>
            </w:r>
          </w:p>
        </w:tc>
        <w:tc>
          <w:tcPr>
            <w:tcW w:w="12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噪声源</w:t>
            </w:r>
          </w:p>
        </w:tc>
        <w:tc>
          <w:tcPr>
            <w:tcW w:w="108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设备名称</w:t>
            </w:r>
          </w:p>
        </w:tc>
        <w:tc>
          <w:tcPr>
            <w:tcW w:w="8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数量（台）</w:t>
            </w:r>
          </w:p>
        </w:tc>
        <w:tc>
          <w:tcPr>
            <w:tcW w:w="113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声压级dB(A)</w:t>
            </w:r>
          </w:p>
        </w:tc>
        <w:tc>
          <w:tcPr>
            <w:tcW w:w="203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治理措施</w:t>
            </w:r>
          </w:p>
        </w:tc>
        <w:tc>
          <w:tcPr>
            <w:tcW w:w="161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采取措施后噪声级 dB(A)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exact"/>
          <w:jc w:val="center"/>
        </w:trPr>
        <w:tc>
          <w:tcPr>
            <w:tcW w:w="52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1</w:t>
            </w:r>
          </w:p>
        </w:tc>
        <w:tc>
          <w:tcPr>
            <w:tcW w:w="12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工业场地</w:t>
            </w:r>
          </w:p>
        </w:tc>
        <w:tc>
          <w:tcPr>
            <w:tcW w:w="1085"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洗砂机、水泵、筛分机等</w:t>
            </w:r>
          </w:p>
        </w:tc>
        <w:tc>
          <w:tcPr>
            <w:tcW w:w="8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1</w:t>
            </w:r>
          </w:p>
        </w:tc>
        <w:tc>
          <w:tcPr>
            <w:tcW w:w="1139"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95</w:t>
            </w:r>
          </w:p>
        </w:tc>
        <w:tc>
          <w:tcPr>
            <w:tcW w:w="2032"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eastAsia="zh-CN"/>
              </w:rPr>
              <w:t>选用低噪声设备，</w:t>
            </w:r>
            <w:r>
              <w:rPr>
                <w:rFonts w:hint="eastAsia" w:eastAsia="宋体" w:cs="宋体"/>
                <w:b w:val="0"/>
                <w:bCs/>
                <w:color w:val="auto"/>
                <w:sz w:val="21"/>
                <w:szCs w:val="21"/>
                <w:highlight w:val="none"/>
                <w:lang w:val="en-US" w:eastAsia="zh-CN"/>
              </w:rPr>
              <w:t>安装减震垫</w:t>
            </w:r>
          </w:p>
        </w:tc>
        <w:tc>
          <w:tcPr>
            <w:tcW w:w="1611"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80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⑵预测范围与点位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占地范围</w:t>
      </w:r>
      <w:r>
        <w:rPr>
          <w:rFonts w:hint="eastAsia" w:ascii="Times New Roman" w:hAnsi="Times New Roman" w:eastAsia="宋体" w:cs="宋体"/>
          <w:b w:val="0"/>
          <w:bCs/>
          <w:color w:val="auto"/>
          <w:sz w:val="24"/>
          <w:szCs w:val="24"/>
          <w:highlight w:val="none"/>
          <w:lang w:eastAsia="zh-CN"/>
        </w:rPr>
        <w:t>界外200m范围为噪声预测范围，预测项目投产后的场界噪声预测值的昼、夜噪声等效声级，评价场界噪声污染水平。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⑶影响声波传播的参量影响声波传播的各类参量主要有项目所在地的气候条件、地形、高差等，详见表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 xml:space="preserve">表 </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影响声波传播的各类参量</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2"/>
        <w:gridCol w:w="2434"/>
        <w:gridCol w:w="2470"/>
        <w:gridCol w:w="224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exact"/>
        </w:trPr>
        <w:tc>
          <w:tcPr>
            <w:tcW w:w="137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区域</w:t>
            </w:r>
          </w:p>
        </w:tc>
        <w:tc>
          <w:tcPr>
            <w:tcW w:w="243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分类</w:t>
            </w: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参量</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特征</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exact"/>
        </w:trPr>
        <w:tc>
          <w:tcPr>
            <w:tcW w:w="137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矿区所在位置</w:t>
            </w:r>
          </w:p>
        </w:tc>
        <w:tc>
          <w:tcPr>
            <w:tcW w:w="243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气象参数</w:t>
            </w: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年平均风速</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4.1</w:t>
            </w:r>
            <w:r>
              <w:rPr>
                <w:rFonts w:hint="eastAsia" w:ascii="Times New Roman" w:hAnsi="Times New Roman" w:eastAsia="宋体" w:cs="宋体"/>
                <w:b w:val="0"/>
                <w:bCs/>
                <w:color w:val="auto"/>
                <w:sz w:val="21"/>
                <w:szCs w:val="21"/>
                <w:highlight w:val="none"/>
                <w:lang w:eastAsia="zh-CN"/>
              </w:rPr>
              <w:t>m/s</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主导风向</w:t>
            </w:r>
          </w:p>
        </w:tc>
        <w:tc>
          <w:tcPr>
            <w:tcW w:w="22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西南偏南风</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年平均气温</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4.3</w:t>
            </w:r>
            <w:r>
              <w:rPr>
                <w:rFonts w:hint="eastAsia" w:ascii="Times New Roman" w:hAnsi="Times New Roman" w:eastAsia="宋体" w:cs="宋体"/>
                <w:b w:val="0"/>
                <w:bCs/>
                <w:color w:val="auto"/>
                <w:sz w:val="21"/>
                <w:szCs w:val="21"/>
                <w:highlight w:val="none"/>
                <w:lang w:eastAsia="zh-CN"/>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3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采区声源与预测点</w:t>
            </w: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地形</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简单</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yellow"/>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高差</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val="en-US" w:eastAsia="zh-CN"/>
              </w:rPr>
              <w:t>9</w:t>
            </w:r>
            <w:r>
              <w:rPr>
                <w:rFonts w:hint="eastAsia" w:ascii="Times New Roman" w:hAnsi="Times New Roman" w:eastAsia="宋体" w:cs="宋体"/>
                <w:b w:val="0"/>
                <w:bCs/>
                <w:color w:val="auto"/>
                <w:sz w:val="21"/>
                <w:szCs w:val="21"/>
                <w:highlight w:val="none"/>
                <w:lang w:eastAsia="zh-CN"/>
              </w:rPr>
              <w:t>m</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yellow"/>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障碍物</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山体</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yellow"/>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地面覆盖</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草地</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⑷预测模式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本次评价预测模式采用《环境影响评价技术</w:t>
      </w:r>
      <w:r>
        <w:rPr>
          <w:rFonts w:hint="eastAsia" w:eastAsia="宋体" w:cs="宋体"/>
          <w:b w:val="0"/>
          <w:bCs/>
          <w:color w:val="auto"/>
          <w:sz w:val="24"/>
          <w:szCs w:val="24"/>
          <w:highlight w:val="none"/>
          <w:lang w:val="en-US" w:eastAsia="zh-CN"/>
        </w:rPr>
        <w:t>导则</w:t>
      </w:r>
      <w:r>
        <w:rPr>
          <w:rFonts w:hint="eastAsia" w:ascii="Times New Roman" w:hAnsi="Times New Roman" w:eastAsia="宋体" w:cs="宋体"/>
          <w:b w:val="0"/>
          <w:bCs/>
          <w:color w:val="auto"/>
          <w:sz w:val="24"/>
          <w:szCs w:val="24"/>
          <w:highlight w:val="none"/>
          <w:lang w:eastAsia="zh-CN"/>
        </w:rPr>
        <w:t xml:space="preserve"> 声环境》（HJ/T2.4-2009）中的工业噪声预测计算模式。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①单个室外点声源在预测点产生的声级计算基本公式 如已知声源的倍频带声功率级，预测点位置的倍频带声压级 Lp(r)可按</w:t>
      </w:r>
      <w:r>
        <w:rPr>
          <w:rFonts w:hint="eastAsia" w:ascii="Times New Roman" w:hAnsi="Times New Roman" w:eastAsia="宋体" w:cs="宋体"/>
          <w:b w:val="0"/>
          <w:bCs/>
          <w:color w:val="auto"/>
          <w:sz w:val="24"/>
          <w:szCs w:val="24"/>
          <w:highlight w:val="none"/>
          <w:lang w:val="en-US" w:eastAsia="zh-CN"/>
        </w:rPr>
        <w:t>以下</w:t>
      </w:r>
      <w:r>
        <w:rPr>
          <w:rFonts w:hint="eastAsia" w:ascii="Times New Roman" w:hAnsi="Times New Roman" w:eastAsia="宋体" w:cs="宋体"/>
          <w:b w:val="0"/>
          <w:bCs/>
          <w:color w:val="auto"/>
          <w:sz w:val="24"/>
          <w:szCs w:val="24"/>
          <w:highlight w:val="none"/>
          <w:lang w:eastAsia="zh-CN"/>
        </w:rPr>
        <w:t>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14"/>
          <w:sz w:val="24"/>
          <w:szCs w:val="24"/>
          <w:highlight w:val="none"/>
          <w:lang w:eastAsia="zh-CN"/>
        </w:rPr>
        <w:object>
          <v:shape id="_x0000_i1026" o:spt="75" type="#_x0000_t75" style="height:19pt;width:101pt;" o:ole="t" filled="f" o:preferrelative="t" stroked="f" coordsize="21600,21600">
            <v:path/>
            <v:fill on="f" focussize="0,0"/>
            <v:stroke on="f"/>
            <v:imagedata r:id="rId53" o:title=""/>
            <o:lock v:ext="edit" aspectratio="t"/>
            <w10:wrap type="none"/>
            <w10:anchorlock/>
          </v:shape>
          <o:OLEObject Type="Embed" ProgID="Equation.KSEE3" ShapeID="_x0000_i1026" DrawAspect="Content" ObjectID="_1468075726" r:id="rId5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14"/>
          <w:sz w:val="24"/>
          <w:szCs w:val="24"/>
          <w:highlight w:val="none"/>
          <w:lang w:eastAsia="zh-CN"/>
        </w:rPr>
        <w:object>
          <v:shape id="_x0000_i1027" o:spt="75" type="#_x0000_t75" style="height:19pt;width:160pt;" o:ole="t" filled="f" o:preferrelative="t" stroked="f" coordsize="21600,21600">
            <v:path/>
            <v:fill on="f" focussize="0,0"/>
            <v:stroke on="f"/>
            <v:imagedata r:id="rId55" o:title=""/>
            <o:lock v:ext="edit" aspectratio="t"/>
            <w10:wrap type="none"/>
            <w10:anchorlock/>
          </v:shape>
          <o:OLEObject Type="Embed" ProgID="Equation.KSEE3" ShapeID="_x0000_i1027" DrawAspect="Content" ObjectID="_1468075727" r:id="rId5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w:t>
      </w:r>
      <w:r>
        <w:rPr>
          <w:rFonts w:hint="eastAsia" w:ascii="Times New Roman" w:hAnsi="Times New Roman" w:eastAsia="宋体" w:cs="宋体"/>
          <w:b w:val="0"/>
          <w:bCs/>
          <w:color w:val="auto"/>
          <w:sz w:val="24"/>
          <w:szCs w:val="24"/>
          <w:highlight w:val="none"/>
          <w:lang w:val="en-US" w:eastAsia="zh-CN"/>
        </w:rPr>
        <w:t>L</w:t>
      </w:r>
      <w:r>
        <w:rPr>
          <w:rFonts w:hint="eastAsia" w:ascii="Times New Roman" w:hAnsi="Times New Roman" w:eastAsia="宋体" w:cs="宋体"/>
          <w:b w:val="0"/>
          <w:bCs/>
          <w:color w:val="auto"/>
          <w:sz w:val="24"/>
          <w:szCs w:val="24"/>
          <w:highlight w:val="none"/>
          <w:vertAlign w:val="subscript"/>
          <w:lang w:val="en-US" w:eastAsia="zh-CN"/>
        </w:rPr>
        <w:t>W</w:t>
      </w:r>
      <w:r>
        <w:rPr>
          <w:rFonts w:hint="eastAsia" w:ascii="Times New Roman" w:hAnsi="Times New Roman" w:eastAsia="宋体" w:cs="宋体"/>
          <w:b w:val="0"/>
          <w:bCs/>
          <w:color w:val="auto"/>
          <w:sz w:val="24"/>
          <w:szCs w:val="24"/>
          <w:highlight w:val="none"/>
          <w:lang w:val="en-US" w:eastAsia="zh-CN"/>
        </w:rPr>
        <w:t>——</w:t>
      </w:r>
      <w:r>
        <w:rPr>
          <w:rFonts w:hint="eastAsia" w:ascii="Times New Roman" w:hAnsi="Times New Roman" w:eastAsia="宋体" w:cs="宋体"/>
          <w:b w:val="0"/>
          <w:bCs/>
          <w:color w:val="auto"/>
          <w:sz w:val="24"/>
          <w:szCs w:val="24"/>
          <w:highlight w:val="none"/>
          <w:lang w:eastAsia="zh-CN"/>
        </w:rPr>
        <w:t xml:space="preserve">倍频带声功率级，dB；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Dc——指向性校正，dB，对辐射到自由空间的全向点声源，为 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A—倍频带衰减，dB；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div</w:t>
      </w:r>
      <w:r>
        <w:rPr>
          <w:rFonts w:hint="eastAsia" w:ascii="Times New Roman" w:hAnsi="Times New Roman" w:eastAsia="宋体" w:cs="宋体"/>
          <w:b w:val="0"/>
          <w:bCs/>
          <w:color w:val="auto"/>
          <w:sz w:val="24"/>
          <w:szCs w:val="24"/>
          <w:highlight w:val="none"/>
          <w:lang w:eastAsia="zh-CN"/>
        </w:rPr>
        <w:t xml:space="preserve">—几何发散引起的倍频带衰减，dB；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atm</w:t>
      </w:r>
      <w:r>
        <w:rPr>
          <w:rFonts w:hint="eastAsia" w:ascii="Times New Roman" w:hAnsi="Times New Roman" w:eastAsia="宋体" w:cs="宋体"/>
          <w:b w:val="0"/>
          <w:bCs/>
          <w:color w:val="auto"/>
          <w:sz w:val="24"/>
          <w:szCs w:val="24"/>
          <w:highlight w:val="none"/>
          <w:lang w:eastAsia="zh-CN"/>
        </w:rPr>
        <w:t>—大气吸收引起的倍频带衰减，dB；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gr</w:t>
      </w:r>
      <w:r>
        <w:rPr>
          <w:rFonts w:hint="eastAsia" w:ascii="Times New Roman" w:hAnsi="Times New Roman" w:eastAsia="宋体" w:cs="宋体"/>
          <w:b w:val="0"/>
          <w:bCs/>
          <w:color w:val="auto"/>
          <w:sz w:val="24"/>
          <w:szCs w:val="24"/>
          <w:highlight w:val="none"/>
          <w:lang w:eastAsia="zh-CN"/>
        </w:rPr>
        <w:t xml:space="preserve">—地面效应吸收引起的倍频带衰减，dB；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bar</w:t>
      </w:r>
      <w:r>
        <w:rPr>
          <w:rFonts w:hint="eastAsia" w:ascii="Times New Roman" w:hAnsi="Times New Roman" w:eastAsia="宋体" w:cs="宋体"/>
          <w:b w:val="0"/>
          <w:bCs/>
          <w:color w:val="auto"/>
          <w:sz w:val="24"/>
          <w:szCs w:val="24"/>
          <w:highlight w:val="none"/>
          <w:lang w:eastAsia="zh-CN"/>
        </w:rPr>
        <w:t xml:space="preserve">—声屏障引起的倍频带衰减，dB；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misc</w:t>
      </w:r>
      <w:r>
        <w:rPr>
          <w:rFonts w:hint="eastAsia" w:ascii="Times New Roman" w:hAnsi="Times New Roman" w:eastAsia="宋体" w:cs="宋体"/>
          <w:b w:val="0"/>
          <w:bCs/>
          <w:color w:val="auto"/>
          <w:sz w:val="24"/>
          <w:szCs w:val="24"/>
          <w:highlight w:val="none"/>
          <w:lang w:eastAsia="zh-CN"/>
        </w:rPr>
        <w:t>—其它多方面效应引起的倍频带衰减，dB。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如已知靠近声源处某点的倍频带声压级 Lp(r0)时，相同方向预测点位置的倍 频带声压级 Lp(r)可按</w:t>
      </w:r>
      <w:r>
        <w:rPr>
          <w:rFonts w:hint="eastAsia" w:ascii="Times New Roman" w:hAnsi="Times New Roman" w:eastAsia="宋体" w:cs="宋体"/>
          <w:b w:val="0"/>
          <w:bCs/>
          <w:color w:val="auto"/>
          <w:sz w:val="24"/>
          <w:szCs w:val="24"/>
          <w:highlight w:val="none"/>
          <w:lang w:val="en-US" w:eastAsia="zh-CN"/>
        </w:rPr>
        <w:t>以下</w:t>
      </w:r>
      <w:r>
        <w:rPr>
          <w:rFonts w:hint="eastAsia" w:ascii="Times New Roman" w:hAnsi="Times New Roman" w:eastAsia="宋体" w:cs="宋体"/>
          <w:b w:val="0"/>
          <w:bCs/>
          <w:color w:val="auto"/>
          <w:sz w:val="24"/>
          <w:szCs w:val="24"/>
          <w:highlight w:val="none"/>
          <w:lang w:eastAsia="zh-CN"/>
        </w:rPr>
        <w:t>公式计算：</w:t>
      </w:r>
    </w:p>
    <w:p>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highlight w:val="none"/>
          <w:lang w:eastAsia="zh-CN"/>
        </w:rPr>
      </w:pPr>
      <w:r>
        <w:rPr>
          <w:rFonts w:hint="eastAsia" w:ascii="Times New Roman" w:hAnsi="Times New Roman"/>
          <w:position w:val="-14"/>
          <w:highlight w:val="none"/>
          <w:lang w:eastAsia="zh-CN"/>
        </w:rPr>
        <w:object>
          <v:shape id="_x0000_i1028" o:spt="75" type="#_x0000_t75" style="height:19pt;width:90pt;" o:ole="t" filled="f" o:preferrelative="t" stroked="f" coordsize="21600,21600">
            <v:path/>
            <v:fill on="f" focussize="0,0"/>
            <v:stroke on="f"/>
            <v:imagedata r:id="rId57" o:title=""/>
            <o:lock v:ext="edit" aspectratio="t"/>
            <w10:wrap type="none"/>
            <w10:anchorlock/>
          </v:shape>
          <o:OLEObject Type="Embed" ProgID="Equation.KSEE3" ShapeID="_x0000_i1028" DrawAspect="Content" ObjectID="_1468075728" r:id="rId5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预测点的A声级 L</w:t>
      </w:r>
      <w:r>
        <w:rPr>
          <w:rFonts w:hint="eastAsia" w:ascii="Times New Roman" w:hAnsi="Times New Roman" w:eastAsia="宋体" w:cs="宋体"/>
          <w:b w:val="0"/>
          <w:bCs/>
          <w:color w:val="auto"/>
          <w:sz w:val="24"/>
          <w:szCs w:val="24"/>
          <w:highlight w:val="none"/>
          <w:vertAlign w:val="subscript"/>
          <w:lang w:eastAsia="zh-CN"/>
        </w:rPr>
        <w:t>A</w:t>
      </w:r>
      <w:r>
        <w:rPr>
          <w:rFonts w:hint="eastAsia" w:ascii="Times New Roman" w:hAnsi="Times New Roman" w:eastAsia="宋体" w:cs="宋体"/>
          <w:b w:val="0"/>
          <w:bCs/>
          <w:color w:val="auto"/>
          <w:sz w:val="24"/>
          <w:szCs w:val="24"/>
          <w:highlight w:val="none"/>
          <w:lang w:eastAsia="zh-CN"/>
        </w:rPr>
        <w:t>(r)，可利用8 倍频带的声压级公式计算：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32"/>
          <w:sz w:val="24"/>
          <w:szCs w:val="24"/>
          <w:highlight w:val="none"/>
          <w:lang w:eastAsia="zh-CN"/>
        </w:rPr>
        <w:object>
          <v:shape id="_x0000_i1029" o:spt="75" type="#_x0000_t75" style="height:37pt;width:148pt;" o:ole="t" filled="f" o:preferrelative="t" stroked="f" coordsize="21600,21600">
            <v:path/>
            <v:fill on="f" focussize="0,0"/>
            <v:stroke on="f"/>
            <v:imagedata r:id="rId59" o:title=""/>
            <o:lock v:ext="edit" aspectratio="t"/>
            <w10:wrap type="none"/>
            <w10:anchorlock/>
          </v:shape>
          <o:OLEObject Type="Embed" ProgID="Equation.KSEE3" ShapeID="_x0000_i1029" DrawAspect="Content" ObjectID="_1468075729" r:id="rId5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式中：L</w:t>
      </w:r>
      <w:r>
        <w:rPr>
          <w:rFonts w:hint="eastAsia" w:ascii="Times New Roman" w:hAnsi="Times New Roman" w:eastAsia="宋体" w:cs="宋体"/>
          <w:b w:val="0"/>
          <w:bCs/>
          <w:color w:val="auto"/>
          <w:sz w:val="24"/>
          <w:szCs w:val="24"/>
          <w:highlight w:val="none"/>
          <w:vertAlign w:val="subscript"/>
          <w:lang w:eastAsia="zh-CN"/>
        </w:rPr>
        <w:t>Pi</w:t>
      </w:r>
      <w:r>
        <w:rPr>
          <w:rFonts w:hint="eastAsia" w:ascii="Times New Roman" w:hAnsi="Times New Roman" w:eastAsia="宋体" w:cs="宋体"/>
          <w:b w:val="0"/>
          <w:bCs/>
          <w:color w:val="auto"/>
          <w:sz w:val="24"/>
          <w:szCs w:val="24"/>
          <w:highlight w:val="none"/>
          <w:lang w:eastAsia="zh-CN"/>
        </w:rPr>
        <w:t>(r)—预测点（r）处，第i倍频带声压级，dB；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△L</w:t>
      </w:r>
      <w:r>
        <w:rPr>
          <w:rFonts w:hint="eastAsia" w:ascii="Times New Roman" w:hAnsi="Times New Roman" w:eastAsia="宋体" w:cs="宋体"/>
          <w:b w:val="0"/>
          <w:bCs/>
          <w:color w:val="auto"/>
          <w:sz w:val="24"/>
          <w:szCs w:val="24"/>
          <w:highlight w:val="none"/>
          <w:vertAlign w:val="subscript"/>
          <w:lang w:eastAsia="zh-CN"/>
        </w:rPr>
        <w:t>i</w:t>
      </w:r>
      <w:r>
        <w:rPr>
          <w:rFonts w:hint="eastAsia" w:ascii="Times New Roman" w:hAnsi="Times New Roman" w:eastAsia="宋体" w:cs="宋体"/>
          <w:b w:val="0"/>
          <w:bCs/>
          <w:color w:val="auto"/>
          <w:sz w:val="24"/>
          <w:szCs w:val="24"/>
          <w:highlight w:val="none"/>
          <w:lang w:eastAsia="zh-CN"/>
        </w:rPr>
        <w:t xml:space="preserve">—第 i 倍频带的A计权网络修正值，dB。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在不能取得声源倍频带声功率级或倍频带声压级，只能获得A声功率级或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某点的A声级时，可按</w:t>
      </w:r>
      <w:r>
        <w:rPr>
          <w:rFonts w:hint="eastAsia" w:ascii="Times New Roman" w:hAnsi="Times New Roman" w:eastAsia="宋体" w:cs="宋体"/>
          <w:b w:val="0"/>
          <w:bCs/>
          <w:color w:val="auto"/>
          <w:sz w:val="24"/>
          <w:szCs w:val="24"/>
          <w:highlight w:val="none"/>
          <w:lang w:val="en-US" w:eastAsia="zh-CN"/>
        </w:rPr>
        <w:t>以下</w:t>
      </w:r>
      <w:r>
        <w:rPr>
          <w:rFonts w:hint="eastAsia" w:ascii="Times New Roman" w:hAnsi="Times New Roman" w:eastAsia="宋体" w:cs="宋体"/>
          <w:b w:val="0"/>
          <w:bCs/>
          <w:color w:val="auto"/>
          <w:sz w:val="24"/>
          <w:szCs w:val="24"/>
          <w:highlight w:val="none"/>
          <w:lang w:eastAsia="zh-CN"/>
        </w:rPr>
        <w:t>公式做近似计算：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object>
          <v:shape id="_x0000_i1030" o:spt="75" type="#_x0000_t75" style="height:18pt;width:108pt;" o:ole="t" filled="f" o:preferrelative="t" stroked="f" coordsize="21600,21600">
            <v:path/>
            <v:fill on="f" focussize="0,0"/>
            <v:stroke on="f"/>
            <v:imagedata r:id="rId61" o:title=""/>
            <o:lock v:ext="edit" aspectratio="t"/>
            <w10:wrap type="none"/>
            <w10:anchorlock/>
          </v:shape>
          <o:OLEObject Type="Embed" ProgID="Equation.KSEE3" ShapeID="_x0000_i1030" DrawAspect="Content" ObjectID="_1468075730" r:id="rId6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或</w:t>
      </w:r>
      <w:r>
        <w:rPr>
          <w:rFonts w:hint="eastAsia" w:ascii="Times New Roman" w:hAnsi="Times New Roman" w:eastAsia="宋体" w:cs="宋体"/>
          <w:b w:val="0"/>
          <w:bCs/>
          <w:color w:val="auto"/>
          <w:sz w:val="24"/>
          <w:szCs w:val="24"/>
          <w:highlight w:val="none"/>
          <w:lang w:val="en-US" w:eastAsia="zh-CN"/>
        </w:rPr>
        <w:object>
          <v:shape id="_x0000_i1031" o:spt="75" type="#_x0000_t75" style="height:18pt;width:92pt;" o:ole="t" filled="f" o:preferrelative="t" stroked="f" coordsize="21600,21600">
            <v:path/>
            <v:fill on="f" focussize="0,0"/>
            <v:stroke on="f"/>
            <v:imagedata r:id="rId63" o:title=""/>
            <o:lock v:ext="edit" aspectratio="t"/>
            <w10:wrap type="none"/>
            <w10:anchorlock/>
          </v:shape>
          <o:OLEObject Type="Embed" ProgID="Equation.KSEE3" ShapeID="_x0000_i1031" DrawAspect="Content" ObjectID="_1468075731" r:id="rId6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A可选择对A声级影响最大的倍频带计算，一般可选中心频率为500Hz的倍频带估算。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室内声源等效室外声源声功率级计算方法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设靠近开口处（或窗户）室内，室外某倍频带的声压级分别为 LP1和 LP2。若声源所在室内声场为近似扩散声场，则室外倍频声压级可按下公式近似求出：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object>
          <v:shape id="_x0000_i1032" o:spt="75" type="#_x0000_t75" style="height:17pt;width:96.95pt;" o:ole="t" filled="f" o:preferrelative="t" stroked="f" coordsize="21600,21600">
            <v:path/>
            <v:fill on="f" focussize="0,0"/>
            <v:stroke on="f"/>
            <v:imagedata r:id="rId65" o:title=""/>
            <o:lock v:ext="edit" aspectratio="t"/>
            <w10:wrap type="none"/>
            <w10:anchorlock/>
          </v:shape>
          <o:OLEObject Type="Embed" ProgID="Equation.KSEE3" ShapeID="_x0000_i1032" DrawAspect="Content" ObjectID="_1468075732" r:id="rId6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式中：TL—隔墙或窗户倍频带的隔声量，dB。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（3）噪声贡献值计算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设第i个室外声源在预测点产生的A声级为LAi，在T时间内该声源工作时间为ti；第j个等效室外声源在预测点产生的A声级为LAj，在T时间内该声源工作时间为tj；则拟建工程声源对预测点产生的贡献值为（Leqg）：</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34"/>
          <w:sz w:val="24"/>
          <w:szCs w:val="24"/>
          <w:highlight w:val="none"/>
          <w:lang w:eastAsia="zh-CN"/>
        </w:rPr>
        <w:object>
          <v:shape id="_x0000_i1033" o:spt="75" type="#_x0000_t75" style="height:40pt;width:204.95pt;" o:ole="t" filled="f" o:preferrelative="t" stroked="f" coordsize="21600,21600">
            <v:path/>
            <v:fill on="f" focussize="0,0"/>
            <v:stroke on="f"/>
            <v:imagedata r:id="rId67" o:title=""/>
            <o:lock v:ext="edit" aspectratio="t"/>
            <w10:wrap type="none"/>
            <w10:anchorlock/>
          </v:shape>
          <o:OLEObject Type="Embed" ProgID="Equation.KSEE3" ShapeID="_x0000_i1033" DrawAspect="Content" ObjectID="_1468075733" r:id="rId6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式中：</w:t>
      </w:r>
      <w:r>
        <w:rPr>
          <w:rFonts w:hint="eastAsia" w:ascii="Times New Roman" w:hAnsi="Times New Roman" w:eastAsia="宋体" w:cs="宋体"/>
          <w:b w:val="0"/>
          <w:bCs/>
          <w:color w:val="auto"/>
          <w:sz w:val="24"/>
          <w:szCs w:val="24"/>
          <w:highlight w:val="none"/>
          <w:lang w:eastAsia="zh-CN"/>
        </w:rPr>
        <w:t>tj—在T时间内j声源工作时间，s；</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ti—在T时间内i声源工作时间，s；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T—用于计算等效声级的时间，s；</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N—室外声源个数；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M—等效室外声源个数。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本次环评中为了更准确、快速地进行噪声预测分析，采用了石家庄环安科技有限公司开发的噪声预测评价软件。预测点高度为1.2m。预测区内测算点的间隔为10m。预测范围为工业场地 200m范围内。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14" w:name="4.2.3.3预测结果"/>
      <w:bookmarkEnd w:id="214"/>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.1</w:t>
      </w:r>
      <w:r>
        <w:rPr>
          <w:rFonts w:hint="eastAsia" w:ascii="Times New Roman" w:hAnsi="Times New Roman" w:eastAsia="宋体" w:cs="宋体"/>
          <w:b/>
          <w:bCs w:val="0"/>
          <w:color w:val="auto"/>
          <w:sz w:val="24"/>
          <w:szCs w:val="24"/>
          <w:highlight w:val="none"/>
          <w:lang w:eastAsia="zh-CN"/>
        </w:rPr>
        <w:t>.3 预测结果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本项目工业场</w:t>
      </w:r>
      <w:r>
        <w:rPr>
          <w:rFonts w:hint="eastAsia" w:ascii="Times New Roman" w:hAnsi="Times New Roman" w:eastAsia="宋体" w:cs="宋体"/>
          <w:b w:val="0"/>
          <w:bCs/>
          <w:color w:val="auto"/>
          <w:sz w:val="24"/>
          <w:szCs w:val="24"/>
          <w:highlight w:val="none"/>
          <w:lang w:val="en-US" w:eastAsia="zh-CN"/>
        </w:rPr>
        <w:t>地</w:t>
      </w:r>
      <w:r>
        <w:rPr>
          <w:rFonts w:hint="eastAsia" w:ascii="Times New Roman" w:hAnsi="Times New Roman" w:eastAsia="宋体" w:cs="宋体"/>
          <w:b w:val="0"/>
          <w:bCs/>
          <w:color w:val="auto"/>
          <w:sz w:val="24"/>
          <w:szCs w:val="24"/>
          <w:highlight w:val="none"/>
          <w:lang w:eastAsia="zh-CN"/>
        </w:rPr>
        <w:t>根据项目高噪声设备声级所处位置，利用工业企业噪声预测模式和方法，对工业场地的声环境进行预测计算。采矿噪声预测结果见表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-3</w:t>
      </w:r>
      <w:r>
        <w:rPr>
          <w:rFonts w:hint="eastAsia" w:eastAsia="宋体" w:cs="宋体"/>
          <w:b/>
          <w:bCs w:val="0"/>
          <w:color w:val="auto"/>
          <w:sz w:val="24"/>
          <w:szCs w:val="24"/>
          <w:highlight w:val="none"/>
          <w:lang w:val="en-US" w:eastAsia="zh-CN"/>
        </w:rPr>
        <w:t xml:space="preserve"> </w:t>
      </w:r>
      <w:r>
        <w:rPr>
          <w:rFonts w:hint="eastAsia" w:ascii="Times New Roman" w:hAnsi="Times New Roman" w:eastAsia="宋体" w:cs="宋体"/>
          <w:b/>
          <w:bCs w:val="0"/>
          <w:color w:val="auto"/>
          <w:sz w:val="24"/>
          <w:szCs w:val="24"/>
          <w:highlight w:val="none"/>
          <w:lang w:eastAsia="zh-CN"/>
        </w:rPr>
        <w:t>工业场地噪声预测结果一览表</w:t>
      </w:r>
    </w:p>
    <w:tbl>
      <w:tblPr>
        <w:tblStyle w:val="35"/>
        <w:tblW w:w="8639" w:type="dxa"/>
        <w:tblInd w:w="-1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7"/>
        <w:gridCol w:w="1210"/>
        <w:gridCol w:w="1207"/>
        <w:gridCol w:w="1168"/>
        <w:gridCol w:w="1251"/>
        <w:gridCol w:w="1210"/>
        <w:gridCol w:w="125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vMerge w:val="restart"/>
            <w:tcBorders>
              <w:tl2br w:val="nil"/>
              <w:tr2bl w:val="nil"/>
            </w:tcBorders>
            <w:vAlign w:val="center"/>
          </w:tcPr>
          <w:p>
            <w:pPr>
              <w:pStyle w:val="118"/>
              <w:spacing w:before="172"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测点位置</w:t>
            </w:r>
          </w:p>
        </w:tc>
        <w:tc>
          <w:tcPr>
            <w:tcW w:w="3585" w:type="dxa"/>
            <w:gridSpan w:val="3"/>
            <w:tcBorders>
              <w:tl2br w:val="nil"/>
              <w:tr2bl w:val="nil"/>
            </w:tcBorders>
            <w:vAlign w:val="center"/>
          </w:tcPr>
          <w:p>
            <w:pPr>
              <w:pStyle w:val="118"/>
              <w:spacing w:line="272"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昼间</w:t>
            </w:r>
          </w:p>
        </w:tc>
        <w:tc>
          <w:tcPr>
            <w:tcW w:w="3717" w:type="dxa"/>
            <w:gridSpan w:val="3"/>
            <w:tcBorders>
              <w:tl2br w:val="nil"/>
              <w:tr2bl w:val="nil"/>
            </w:tcBorders>
            <w:vAlign w:val="center"/>
          </w:tcPr>
          <w:p>
            <w:pPr>
              <w:pStyle w:val="118"/>
              <w:spacing w:line="27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夜间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vMerge w:val="continue"/>
            <w:tcBorders>
              <w:tl2br w:val="nil"/>
              <w:tr2bl w:val="nil"/>
            </w:tcBorders>
            <w:vAlign w:val="center"/>
          </w:tcPr>
          <w:p>
            <w:pPr>
              <w:jc w:val="center"/>
              <w:rPr>
                <w:rFonts w:ascii="Times New Roman" w:hAnsi="Times New Roman" w:eastAsia="宋体"/>
                <w:sz w:val="21"/>
                <w:szCs w:val="21"/>
                <w:highlight w:val="none"/>
              </w:rPr>
            </w:pPr>
          </w:p>
        </w:tc>
        <w:tc>
          <w:tcPr>
            <w:tcW w:w="1210"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现状值</w:t>
            </w:r>
          </w:p>
        </w:tc>
        <w:tc>
          <w:tcPr>
            <w:tcW w:w="1207" w:type="dxa"/>
            <w:tcBorders>
              <w:tl2br w:val="nil"/>
              <w:tr2bl w:val="nil"/>
            </w:tcBorders>
            <w:vAlign w:val="center"/>
          </w:tcPr>
          <w:p>
            <w:pPr>
              <w:pStyle w:val="118"/>
              <w:spacing w:line="273"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贡献值</w:t>
            </w:r>
          </w:p>
        </w:tc>
        <w:tc>
          <w:tcPr>
            <w:tcW w:w="1168"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预测值</w:t>
            </w:r>
          </w:p>
        </w:tc>
        <w:tc>
          <w:tcPr>
            <w:tcW w:w="1251"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现状值</w:t>
            </w:r>
          </w:p>
        </w:tc>
        <w:tc>
          <w:tcPr>
            <w:tcW w:w="1210"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贡献值</w:t>
            </w:r>
          </w:p>
        </w:tc>
        <w:tc>
          <w:tcPr>
            <w:tcW w:w="1256" w:type="dxa"/>
            <w:tcBorders>
              <w:tl2br w:val="nil"/>
              <w:tr2bl w:val="nil"/>
            </w:tcBorders>
            <w:vAlign w:val="center"/>
          </w:tcPr>
          <w:p>
            <w:pPr>
              <w:pStyle w:val="118"/>
              <w:spacing w:line="273"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预测值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3"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东</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44.0</w:t>
            </w:r>
          </w:p>
        </w:tc>
        <w:tc>
          <w:tcPr>
            <w:tcW w:w="1207"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45.6</w:t>
            </w:r>
          </w:p>
        </w:tc>
        <w:tc>
          <w:tcPr>
            <w:tcW w:w="1168"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47.9</w:t>
            </w:r>
          </w:p>
        </w:tc>
        <w:tc>
          <w:tcPr>
            <w:tcW w:w="1251"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40.9</w:t>
            </w:r>
          </w:p>
        </w:tc>
        <w:tc>
          <w:tcPr>
            <w:tcW w:w="1210"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45.6</w:t>
            </w:r>
          </w:p>
        </w:tc>
        <w:tc>
          <w:tcPr>
            <w:tcW w:w="1256" w:type="dxa"/>
            <w:tcBorders>
              <w:tl2br w:val="nil"/>
              <w:tr2bl w:val="nil"/>
            </w:tcBorders>
            <w:vAlign w:val="center"/>
          </w:tcPr>
          <w:p>
            <w:pPr>
              <w:pStyle w:val="118"/>
              <w:spacing w:before="47"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4"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西</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47.4</w:t>
            </w:r>
          </w:p>
        </w:tc>
        <w:tc>
          <w:tcPr>
            <w:tcW w:w="1207"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45.1</w:t>
            </w:r>
          </w:p>
        </w:tc>
        <w:tc>
          <w:tcPr>
            <w:tcW w:w="1168"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49.4</w:t>
            </w:r>
          </w:p>
        </w:tc>
        <w:tc>
          <w:tcPr>
            <w:tcW w:w="1251"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39.0</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45.1</w:t>
            </w:r>
          </w:p>
        </w:tc>
        <w:tc>
          <w:tcPr>
            <w:tcW w:w="1256" w:type="dxa"/>
            <w:tcBorders>
              <w:tl2br w:val="nil"/>
              <w:tr2bl w:val="nil"/>
            </w:tcBorders>
            <w:vAlign w:val="center"/>
          </w:tcPr>
          <w:p>
            <w:pPr>
              <w:pStyle w:val="118"/>
              <w:spacing w:before="48"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4"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南</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45.2</w:t>
            </w:r>
          </w:p>
        </w:tc>
        <w:tc>
          <w:tcPr>
            <w:tcW w:w="1207"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46.2</w:t>
            </w:r>
          </w:p>
        </w:tc>
        <w:tc>
          <w:tcPr>
            <w:tcW w:w="1168"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48.7</w:t>
            </w:r>
          </w:p>
        </w:tc>
        <w:tc>
          <w:tcPr>
            <w:tcW w:w="1251"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38.8</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46.2</w:t>
            </w:r>
          </w:p>
        </w:tc>
        <w:tc>
          <w:tcPr>
            <w:tcW w:w="1256" w:type="dxa"/>
            <w:tcBorders>
              <w:tl2br w:val="nil"/>
              <w:tr2bl w:val="nil"/>
            </w:tcBorders>
            <w:vAlign w:val="center"/>
          </w:tcPr>
          <w:p>
            <w:pPr>
              <w:pStyle w:val="118"/>
              <w:spacing w:before="48"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2"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北</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47.4</w:t>
            </w:r>
          </w:p>
        </w:tc>
        <w:tc>
          <w:tcPr>
            <w:tcW w:w="1207"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44.9</w:t>
            </w:r>
          </w:p>
        </w:tc>
        <w:tc>
          <w:tcPr>
            <w:tcW w:w="1168"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49.3</w:t>
            </w:r>
          </w:p>
        </w:tc>
        <w:tc>
          <w:tcPr>
            <w:tcW w:w="1251"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40.5</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44.9</w:t>
            </w:r>
          </w:p>
        </w:tc>
        <w:tc>
          <w:tcPr>
            <w:tcW w:w="1256" w:type="dxa"/>
            <w:tcBorders>
              <w:tl2br w:val="nil"/>
              <w:tr2bl w:val="nil"/>
            </w:tcBorders>
            <w:vAlign w:val="center"/>
          </w:tcPr>
          <w:p>
            <w:pPr>
              <w:pStyle w:val="118"/>
              <w:spacing w:before="48"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46.2</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经预测，</w:t>
      </w:r>
      <w:r>
        <w:rPr>
          <w:rFonts w:hint="eastAsia" w:ascii="Times New Roman" w:hAnsi="Times New Roman" w:eastAsia="宋体" w:cs="宋体"/>
          <w:b w:val="0"/>
          <w:bCs/>
          <w:color w:val="auto"/>
          <w:sz w:val="24"/>
          <w:szCs w:val="24"/>
          <w:highlight w:val="none"/>
          <w:lang w:val="en-US" w:eastAsia="zh-CN"/>
        </w:rPr>
        <w:t>场界</w:t>
      </w:r>
      <w:r>
        <w:rPr>
          <w:rFonts w:hint="eastAsia" w:ascii="Times New Roman" w:hAnsi="Times New Roman" w:eastAsia="宋体" w:cs="宋体"/>
          <w:b w:val="0"/>
          <w:bCs/>
          <w:color w:val="auto"/>
          <w:sz w:val="24"/>
          <w:szCs w:val="24"/>
          <w:highlight w:val="none"/>
          <w:lang w:eastAsia="zh-CN"/>
        </w:rPr>
        <w:t>噪声值在昼间</w:t>
      </w:r>
      <w:r>
        <w:rPr>
          <w:rFonts w:hint="eastAsia" w:eastAsia="宋体" w:cs="宋体"/>
          <w:b w:val="0"/>
          <w:bCs/>
          <w:color w:val="auto"/>
          <w:sz w:val="24"/>
          <w:szCs w:val="24"/>
          <w:highlight w:val="none"/>
          <w:lang w:val="en-US" w:eastAsia="zh-CN"/>
        </w:rPr>
        <w:t>47.9-49.4</w:t>
      </w:r>
      <w:r>
        <w:rPr>
          <w:rFonts w:hint="eastAsia" w:ascii="Times New Roman" w:hAnsi="Times New Roman" w:eastAsia="宋体" w:cs="宋体"/>
          <w:b w:val="0"/>
          <w:bCs/>
          <w:color w:val="auto"/>
          <w:sz w:val="24"/>
          <w:szCs w:val="24"/>
          <w:highlight w:val="none"/>
          <w:lang w:eastAsia="zh-CN"/>
        </w:rPr>
        <w:t>dB(A) 之间，夜间</w:t>
      </w:r>
      <w:r>
        <w:rPr>
          <w:rFonts w:hint="eastAsia" w:ascii="Times New Roman" w:hAnsi="Times New Roman" w:eastAsia="宋体" w:cs="宋体"/>
          <w:b w:val="0"/>
          <w:bCs/>
          <w:color w:val="auto"/>
          <w:sz w:val="24"/>
          <w:szCs w:val="24"/>
          <w:highlight w:val="none"/>
          <w:lang w:val="en-US" w:eastAsia="zh-CN"/>
        </w:rPr>
        <w:t>46.</w:t>
      </w:r>
      <w:r>
        <w:rPr>
          <w:rFonts w:hint="eastAsia" w:eastAsia="宋体" w:cs="宋体"/>
          <w:b w:val="0"/>
          <w:bCs/>
          <w:color w:val="auto"/>
          <w:sz w:val="24"/>
          <w:szCs w:val="24"/>
          <w:highlight w:val="none"/>
          <w:lang w:val="en-US" w:eastAsia="zh-CN"/>
        </w:rPr>
        <w:t>1-46.9</w:t>
      </w:r>
      <w:r>
        <w:rPr>
          <w:rFonts w:hint="eastAsia" w:ascii="Times New Roman" w:hAnsi="Times New Roman" w:eastAsia="宋体" w:cs="宋体"/>
          <w:b w:val="0"/>
          <w:bCs/>
          <w:color w:val="auto"/>
          <w:sz w:val="24"/>
          <w:szCs w:val="24"/>
          <w:highlight w:val="none"/>
          <w:lang w:eastAsia="zh-CN"/>
        </w:rPr>
        <w:t>dB(A)之间，满足《工业企业厂界环境噪声排放标准》（GB12348-2008）2类标准要求。</w:t>
      </w:r>
      <w:r>
        <w:rPr>
          <w:rFonts w:hint="eastAsia" w:ascii="Times New Roman" w:hAnsi="Times New Roman" w:eastAsia="宋体" w:cs="宋体"/>
          <w:b w:val="0"/>
          <w:bCs/>
          <w:color w:val="auto"/>
          <w:sz w:val="24"/>
          <w:szCs w:val="24"/>
          <w:highlight w:val="none"/>
          <w:lang w:val="en-US" w:eastAsia="zh-CN"/>
        </w:rPr>
        <w:t>距本项目最近的</w:t>
      </w:r>
      <w:r>
        <w:rPr>
          <w:rFonts w:hint="eastAsia" w:eastAsia="宋体" w:cs="宋体"/>
          <w:b w:val="0"/>
          <w:bCs/>
          <w:color w:val="auto"/>
          <w:sz w:val="24"/>
          <w:szCs w:val="24"/>
          <w:highlight w:val="none"/>
          <w:lang w:val="en-US" w:eastAsia="zh-CN"/>
        </w:rPr>
        <w:t>敏感点</w:t>
      </w:r>
      <w:r>
        <w:rPr>
          <w:rFonts w:hint="eastAsia" w:ascii="Times New Roman" w:hAnsi="Times New Roman" w:eastAsia="宋体" w:cs="宋体"/>
          <w:b w:val="0"/>
          <w:bCs/>
          <w:color w:val="auto"/>
          <w:sz w:val="24"/>
          <w:szCs w:val="24"/>
          <w:highlight w:val="none"/>
          <w:lang w:val="en-US" w:eastAsia="zh-CN"/>
        </w:rPr>
        <w:t>为西南方向的</w:t>
      </w:r>
      <w:r>
        <w:rPr>
          <w:rFonts w:hint="eastAsia" w:eastAsia="宋体" w:cs="宋体"/>
          <w:b w:val="0"/>
          <w:bCs/>
          <w:color w:val="auto"/>
          <w:sz w:val="24"/>
          <w:szCs w:val="24"/>
          <w:highlight w:val="none"/>
          <w:lang w:val="en-US" w:eastAsia="zh-CN"/>
        </w:rPr>
        <w:t>居民</w:t>
      </w:r>
      <w:r>
        <w:rPr>
          <w:rFonts w:hint="eastAsia" w:ascii="Times New Roman" w:hAnsi="Times New Roman" w:eastAsia="宋体" w:cs="宋体"/>
          <w:b w:val="0"/>
          <w:bCs/>
          <w:color w:val="auto"/>
          <w:sz w:val="24"/>
          <w:szCs w:val="24"/>
          <w:highlight w:val="none"/>
          <w:lang w:eastAsia="zh-CN"/>
        </w:rPr>
        <w:t>，不会对居民正常生活造成明显影响。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15" w:name="_Toc12196"/>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.2运输噪声影响分析</w:t>
      </w:r>
      <w:bookmarkEnd w:id="215"/>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本项目运营后，</w:t>
      </w:r>
      <w:r>
        <w:rPr>
          <w:rFonts w:hint="eastAsia" w:eastAsia="宋体" w:cs="宋体"/>
          <w:b w:val="0"/>
          <w:bCs/>
          <w:color w:val="auto"/>
          <w:sz w:val="24"/>
          <w:szCs w:val="24"/>
          <w:highlight w:val="none"/>
          <w:lang w:val="en-US" w:eastAsia="zh-CN"/>
        </w:rPr>
        <w:t>废石直接运至采空区回填，原料砂一部分作为产品直接外售，其余进工业场地洗砂后于成品堆场堆存</w:t>
      </w:r>
      <w:r>
        <w:rPr>
          <w:rFonts w:hint="eastAsia" w:ascii="Times New Roman" w:hAnsi="Times New Roman" w:eastAsia="宋体" w:cs="宋体"/>
          <w:b w:val="0"/>
          <w:bCs/>
          <w:color w:val="auto"/>
          <w:sz w:val="24"/>
          <w:szCs w:val="24"/>
          <w:highlight w:val="none"/>
          <w:lang w:eastAsia="zh-CN"/>
        </w:rPr>
        <w:t>，运输距离短，运输过程中</w:t>
      </w:r>
      <w:r>
        <w:rPr>
          <w:rFonts w:hint="eastAsia" w:eastAsia="宋体" w:cs="宋体"/>
          <w:b w:val="0"/>
          <w:bCs/>
          <w:color w:val="auto"/>
          <w:sz w:val="24"/>
          <w:szCs w:val="24"/>
          <w:highlight w:val="none"/>
          <w:lang w:val="en-US" w:eastAsia="zh-CN"/>
        </w:rPr>
        <w:t>主要为小型翻斗车</w:t>
      </w:r>
      <w:r>
        <w:rPr>
          <w:rFonts w:hint="eastAsia" w:ascii="Times New Roman" w:hAnsi="Times New Roman" w:eastAsia="宋体" w:cs="宋体"/>
          <w:b w:val="0"/>
          <w:bCs/>
          <w:color w:val="auto"/>
          <w:sz w:val="24"/>
          <w:szCs w:val="24"/>
          <w:highlight w:val="none"/>
          <w:lang w:eastAsia="zh-CN"/>
        </w:rPr>
        <w:t>，产生噪声对周边环境影响</w:t>
      </w:r>
      <w:r>
        <w:rPr>
          <w:rFonts w:hint="eastAsia" w:eastAsia="宋体" w:cs="宋体"/>
          <w:b w:val="0"/>
          <w:bCs/>
          <w:color w:val="auto"/>
          <w:sz w:val="24"/>
          <w:szCs w:val="24"/>
          <w:highlight w:val="none"/>
          <w:lang w:val="en-US" w:eastAsia="zh-CN"/>
        </w:rPr>
        <w:t>较小</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运输量</w:t>
      </w:r>
      <w:r>
        <w:rPr>
          <w:rFonts w:hint="eastAsia" w:eastAsia="宋体" w:cs="宋体"/>
          <w:b w:val="0"/>
          <w:bCs/>
          <w:color w:val="auto"/>
          <w:sz w:val="24"/>
          <w:szCs w:val="24"/>
          <w:highlight w:val="none"/>
          <w:lang w:val="en-US" w:eastAsia="zh-CN"/>
        </w:rPr>
        <w:t>7.68</w:t>
      </w:r>
      <w:r>
        <w:rPr>
          <w:rFonts w:hint="eastAsia" w:ascii="Times New Roman" w:hAnsi="Times New Roman" w:eastAsia="宋体" w:cs="宋体"/>
          <w:b w:val="0"/>
          <w:bCs/>
          <w:color w:val="auto"/>
          <w:sz w:val="24"/>
          <w:szCs w:val="24"/>
          <w:highlight w:val="none"/>
          <w:lang w:eastAsia="zh-CN"/>
        </w:rPr>
        <w:t>万t/a，外部运输道路长约</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km，内部运输道路长约</w:t>
      </w:r>
      <w:r>
        <w:rPr>
          <w:rFonts w:hint="eastAsia" w:eastAsia="宋体" w:cs="宋体"/>
          <w:b w:val="0"/>
          <w:bCs/>
          <w:color w:val="auto"/>
          <w:sz w:val="24"/>
          <w:szCs w:val="24"/>
          <w:highlight w:val="none"/>
          <w:lang w:val="en-US" w:eastAsia="zh-CN"/>
        </w:rPr>
        <w:t>0.15</w:t>
      </w:r>
      <w:r>
        <w:rPr>
          <w:rFonts w:hint="eastAsia" w:ascii="Times New Roman" w:hAnsi="Times New Roman" w:eastAsia="宋体" w:cs="宋体"/>
          <w:b w:val="0"/>
          <w:bCs/>
          <w:color w:val="auto"/>
          <w:sz w:val="24"/>
          <w:szCs w:val="24"/>
          <w:highlight w:val="none"/>
          <w:lang w:eastAsia="zh-CN"/>
        </w:rPr>
        <w:t>km，采用40t重型自卸运输车辆，每天运输车次约为</w:t>
      </w:r>
      <w:r>
        <w:rPr>
          <w:rFonts w:hint="eastAsia" w:eastAsia="宋体" w:cs="宋体"/>
          <w:b w:val="0"/>
          <w:bCs/>
          <w:color w:val="auto"/>
          <w:sz w:val="24"/>
          <w:szCs w:val="24"/>
          <w:highlight w:val="none"/>
          <w:lang w:val="en-US" w:eastAsia="zh-CN"/>
        </w:rPr>
        <w:t>10</w:t>
      </w:r>
      <w:r>
        <w:rPr>
          <w:rFonts w:hint="eastAsia" w:ascii="Times New Roman" w:hAnsi="Times New Roman" w:eastAsia="宋体" w:cs="宋体"/>
          <w:b w:val="0"/>
          <w:bCs/>
          <w:color w:val="auto"/>
          <w:sz w:val="24"/>
          <w:szCs w:val="24"/>
          <w:highlight w:val="none"/>
          <w:lang w:eastAsia="zh-CN"/>
        </w:rPr>
        <w:t>次。根据工程分析，项目运输车流量较小，且为间断噪声，其运输车辆噪声预测如下：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14"/>
          <w:sz w:val="24"/>
          <w:szCs w:val="24"/>
          <w:highlight w:val="none"/>
          <w:lang w:eastAsia="zh-CN"/>
        </w:rPr>
        <w:object>
          <v:shape id="_x0000_i1034" o:spt="75" type="#_x0000_t75" style="height:19pt;width:154pt;" o:ole="t" filled="f" o:preferrelative="t" stroked="f" coordsize="21600,21600">
            <v:path/>
            <v:fill on="f" focussize="0,0"/>
            <v:stroke on="f"/>
            <v:imagedata r:id="rId69" o:title=""/>
            <o:lock v:ext="edit" aspectratio="t"/>
            <w10:wrap type="none"/>
            <w10:anchorlock/>
          </v:shape>
          <o:OLEObject Type="Embed" ProgID="Equation.KSEE3" ShapeID="_x0000_i1034" DrawAspect="Content" ObjectID="_1468075734" r:id="rId6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式中：Leq——距声源r 处的声压级，dB（A）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L</w:t>
      </w:r>
      <w:r>
        <w:rPr>
          <w:rFonts w:hint="eastAsia" w:ascii="Times New Roman" w:hAnsi="Times New Roman" w:eastAsia="宋体" w:cs="宋体"/>
          <w:b w:val="0"/>
          <w:bCs/>
          <w:color w:val="auto"/>
          <w:sz w:val="24"/>
          <w:szCs w:val="24"/>
          <w:highlight w:val="none"/>
          <w:vertAlign w:val="subscript"/>
          <w:lang w:eastAsia="zh-CN"/>
        </w:rPr>
        <w:t>A</w:t>
      </w:r>
      <w:r>
        <w:rPr>
          <w:rFonts w:hint="eastAsia" w:ascii="Times New Roman" w:hAnsi="Times New Roman" w:eastAsia="宋体" w:cs="宋体"/>
          <w:b w:val="0"/>
          <w:bCs/>
          <w:color w:val="auto"/>
          <w:sz w:val="24"/>
          <w:szCs w:val="24"/>
          <w:highlight w:val="none"/>
          <w:lang w:eastAsia="zh-CN"/>
        </w:rPr>
        <w:t>——某机动车辆在距离ro 处、速度为V 时的A 声级，dB（A），本项目重型车LA=80dB（A）；</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N——车辆量，辆/h，本项目取</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车次/d，即</w:t>
      </w:r>
      <w:r>
        <w:rPr>
          <w:rFonts w:hint="eastAsia" w:ascii="Times New Roman" w:hAnsi="Times New Roman" w:eastAsia="宋体" w:cs="宋体"/>
          <w:b w:val="0"/>
          <w:bCs/>
          <w:color w:val="auto"/>
          <w:sz w:val="24"/>
          <w:szCs w:val="24"/>
          <w:highlight w:val="none"/>
          <w:lang w:val="en-US" w:eastAsia="zh-CN"/>
        </w:rPr>
        <w:t>0.12</w:t>
      </w:r>
      <w:r>
        <w:rPr>
          <w:rFonts w:hint="eastAsia" w:ascii="Times New Roman" w:hAnsi="Times New Roman" w:eastAsia="宋体" w:cs="宋体"/>
          <w:b w:val="0"/>
          <w:bCs/>
          <w:color w:val="auto"/>
          <w:sz w:val="24"/>
          <w:szCs w:val="24"/>
          <w:highlight w:val="none"/>
          <w:lang w:eastAsia="zh-CN"/>
        </w:rPr>
        <w:t>辆/h；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r——预测点与机动车辆行驶中心的距离，m；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V——车速，本评价取20km/h。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根据上述预测公式，预测运输噪声对沿线敏感点的影响程度和影响范围，预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测结果见表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运输道路中心两侧噪声预测值</w:t>
      </w:r>
    </w:p>
    <w:tbl>
      <w:tblPr>
        <w:tblStyle w:val="35"/>
        <w:tblW w:w="782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4"/>
        <w:gridCol w:w="2844"/>
        <w:gridCol w:w="284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预测点</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距离声源（m）</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贡献值（dB）</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运输路中心线两侧</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52.7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20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50.8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30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48.1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45.7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60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43.8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80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200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35.8</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根据预测模式计算可以得到运输道路两侧受本工程交通运输噪声影响的程度，外部运输道路</w:t>
      </w:r>
      <w:r>
        <w:rPr>
          <w:rFonts w:hint="eastAsia" w:ascii="Times New Roman" w:hAnsi="Times New Roman" w:eastAsia="宋体" w:cs="宋体"/>
          <w:b w:val="0"/>
          <w:bCs/>
          <w:color w:val="auto"/>
          <w:sz w:val="24"/>
          <w:szCs w:val="24"/>
          <w:highlight w:val="none"/>
          <w:lang w:val="en-US" w:eastAsia="zh-CN"/>
        </w:rPr>
        <w:t>最近</w:t>
      </w:r>
      <w:r>
        <w:rPr>
          <w:rFonts w:hint="eastAsia" w:ascii="Times New Roman" w:hAnsi="Times New Roman" w:eastAsia="宋体" w:cs="宋体"/>
          <w:b w:val="0"/>
          <w:bCs/>
          <w:color w:val="auto"/>
          <w:sz w:val="24"/>
          <w:szCs w:val="24"/>
          <w:highlight w:val="none"/>
          <w:lang w:eastAsia="zh-CN"/>
        </w:rPr>
        <w:t>居民</w:t>
      </w:r>
      <w:r>
        <w:rPr>
          <w:rFonts w:hint="eastAsia" w:ascii="Times New Roman" w:hAnsi="Times New Roman" w:eastAsia="宋体" w:cs="宋体"/>
          <w:b w:val="0"/>
          <w:bCs/>
          <w:color w:val="auto"/>
          <w:sz w:val="24"/>
          <w:szCs w:val="24"/>
          <w:highlight w:val="none"/>
          <w:lang w:val="en-US" w:eastAsia="zh-CN"/>
        </w:rPr>
        <w:t>距离为</w:t>
      </w:r>
      <w:r>
        <w:rPr>
          <w:rFonts w:hint="eastAsia" w:eastAsia="宋体" w:cs="宋体"/>
          <w:b w:val="0"/>
          <w:bCs/>
          <w:color w:val="auto"/>
          <w:sz w:val="24"/>
          <w:szCs w:val="24"/>
          <w:highlight w:val="none"/>
          <w:lang w:val="en-US" w:eastAsia="zh-CN"/>
        </w:rPr>
        <w:t>350</w:t>
      </w:r>
      <w:r>
        <w:rPr>
          <w:rFonts w:hint="eastAsia" w:ascii="Times New Roman" w:hAnsi="Times New Roman" w:eastAsia="宋体" w:cs="宋体"/>
          <w:b w:val="0"/>
          <w:bCs/>
          <w:color w:val="auto"/>
          <w:sz w:val="24"/>
          <w:szCs w:val="24"/>
          <w:highlight w:val="none"/>
          <w:lang w:val="en-US" w:eastAsia="zh-CN"/>
        </w:rPr>
        <w:t>m</w:t>
      </w: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噪声值</w:t>
      </w:r>
      <w:r>
        <w:rPr>
          <w:rFonts w:hint="eastAsia" w:eastAsia="宋体" w:cs="宋体"/>
          <w:b w:val="0"/>
          <w:bCs/>
          <w:color w:val="auto"/>
          <w:sz w:val="24"/>
          <w:szCs w:val="24"/>
          <w:highlight w:val="none"/>
          <w:lang w:val="en-US" w:eastAsia="zh-CN"/>
        </w:rPr>
        <w:t>小于35</w:t>
      </w:r>
      <w:r>
        <w:rPr>
          <w:rFonts w:hint="eastAsia" w:ascii="Times New Roman" w:hAnsi="Times New Roman" w:eastAsia="宋体" w:cs="宋体"/>
          <w:b w:val="0"/>
          <w:bCs/>
          <w:color w:val="auto"/>
          <w:sz w:val="24"/>
          <w:szCs w:val="24"/>
          <w:highlight w:val="none"/>
          <w:lang w:val="en-US" w:eastAsia="zh-CN"/>
        </w:rPr>
        <w:t>dB，</w:t>
      </w:r>
      <w:r>
        <w:rPr>
          <w:rFonts w:hint="eastAsia" w:ascii="Times New Roman" w:hAnsi="Times New Roman" w:eastAsia="宋体" w:cs="宋体"/>
          <w:b w:val="0"/>
          <w:bCs/>
          <w:color w:val="auto"/>
          <w:sz w:val="24"/>
          <w:szCs w:val="24"/>
          <w:highlight w:val="none"/>
          <w:lang w:eastAsia="zh-CN"/>
        </w:rPr>
        <w:t>满足《声环境质量标准》（GB3096-2008）2 类标准中昼间 60dB（A）要求，</w:t>
      </w:r>
      <w:r>
        <w:rPr>
          <w:rFonts w:hint="eastAsia" w:ascii="Times New Roman" w:hAnsi="Times New Roman" w:eastAsia="宋体" w:cs="宋体"/>
          <w:b w:val="0"/>
          <w:bCs/>
          <w:color w:val="auto"/>
          <w:sz w:val="24"/>
          <w:szCs w:val="24"/>
          <w:highlight w:val="none"/>
          <w:lang w:val="en-US" w:eastAsia="zh-CN"/>
        </w:rPr>
        <w:t>夜间无运输。</w:t>
      </w:r>
      <w:r>
        <w:rPr>
          <w:rFonts w:hint="eastAsia" w:ascii="Times New Roman" w:hAnsi="Times New Roman" w:eastAsia="宋体" w:cs="宋体"/>
          <w:b w:val="0"/>
          <w:bCs/>
          <w:color w:val="auto"/>
          <w:sz w:val="24"/>
          <w:szCs w:val="24"/>
          <w:highlight w:val="none"/>
          <w:lang w:eastAsia="zh-CN"/>
        </w:rPr>
        <w:t>环评要求</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运输过程使用专业车辆，</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运输量为</w:t>
      </w:r>
      <w:r>
        <w:rPr>
          <w:rFonts w:hint="eastAsia" w:eastAsia="宋体" w:cs="宋体"/>
          <w:b w:val="0"/>
          <w:bCs/>
          <w:color w:val="auto"/>
          <w:sz w:val="24"/>
          <w:szCs w:val="24"/>
          <w:highlight w:val="none"/>
          <w:lang w:val="en-US" w:eastAsia="zh-CN"/>
        </w:rPr>
        <w:t>7.68</w:t>
      </w:r>
      <w:r>
        <w:rPr>
          <w:rFonts w:hint="eastAsia" w:ascii="Times New Roman" w:hAnsi="Times New Roman" w:eastAsia="宋体" w:cs="宋体"/>
          <w:b w:val="0"/>
          <w:bCs/>
          <w:color w:val="auto"/>
          <w:sz w:val="24"/>
          <w:szCs w:val="24"/>
          <w:highlight w:val="none"/>
          <w:lang w:eastAsia="zh-CN"/>
        </w:rPr>
        <w:t>万t/a，采用40t重型自卸运输车辆，每天运输车次约为</w:t>
      </w:r>
      <w:r>
        <w:rPr>
          <w:rFonts w:hint="eastAsia" w:ascii="Times New Roman" w:hAnsi="Times New Roman" w:eastAsia="宋体" w:cs="宋体"/>
          <w:b w:val="0"/>
          <w:bCs/>
          <w:color w:val="auto"/>
          <w:sz w:val="24"/>
          <w:szCs w:val="24"/>
          <w:highlight w:val="none"/>
          <w:lang w:val="en-US" w:eastAsia="zh-CN"/>
        </w:rPr>
        <w:t>1</w:t>
      </w:r>
      <w:r>
        <w:rPr>
          <w:rFonts w:hint="eastAsia" w:eastAsia="宋体" w:cs="宋体"/>
          <w:b w:val="0"/>
          <w:bCs/>
          <w:color w:val="auto"/>
          <w:sz w:val="24"/>
          <w:szCs w:val="24"/>
          <w:highlight w:val="none"/>
          <w:lang w:val="en-US" w:eastAsia="zh-CN"/>
        </w:rPr>
        <w:t>0</w:t>
      </w:r>
      <w:r>
        <w:rPr>
          <w:rFonts w:hint="eastAsia" w:ascii="Times New Roman" w:hAnsi="Times New Roman" w:eastAsia="宋体" w:cs="宋体"/>
          <w:b w:val="0"/>
          <w:bCs/>
          <w:color w:val="auto"/>
          <w:sz w:val="24"/>
          <w:szCs w:val="24"/>
          <w:highlight w:val="none"/>
          <w:lang w:eastAsia="zh-CN"/>
        </w:rPr>
        <w:t>次。环评要求运输过程要避开居民休息时间，夜间 20:00至早上6</w:t>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宋体"/>
          <w:b w:val="0"/>
          <w:bCs/>
          <w:color w:val="auto"/>
          <w:sz w:val="24"/>
          <w:szCs w:val="24"/>
          <w:highlight w:val="none"/>
          <w:lang w:eastAsia="zh-CN"/>
        </w:rPr>
        <w:t>00 禁止运输。车辆经过村庄时减速慢行，减少鸣笛。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采取上述措施后，本项目</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运输噪声对周边声环境影响较小。</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default" w:ascii="Times New Roman" w:hAnsi="Times New Roman" w:eastAsia="宋体"/>
          <w:b/>
          <w:bCs w:val="0"/>
          <w:color w:val="auto"/>
          <w:highlight w:val="none"/>
          <w:lang w:val="en-US" w:eastAsia="zh-CN"/>
        </w:rPr>
      </w:pPr>
      <w:bookmarkStart w:id="216" w:name="_Toc27411"/>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5</w:t>
      </w:r>
      <w:r>
        <w:rPr>
          <w:rFonts w:hint="eastAsia" w:ascii="Times New Roman" w:hAnsi="Times New Roman" w:eastAsia="宋体"/>
          <w:b/>
          <w:bCs w:val="0"/>
          <w:color w:val="auto"/>
          <w:highlight w:val="none"/>
          <w:lang w:val="en-US" w:eastAsia="zh-CN"/>
        </w:rPr>
        <w:t xml:space="preserve"> 固体废物环境影响评价</w:t>
      </w:r>
      <w:bookmarkEnd w:id="21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1</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废石</w:t>
      </w:r>
      <w:r>
        <w:rPr>
          <w:rFonts w:hint="eastAsia" w:eastAsia="宋体"/>
          <w:color w:val="FF0000"/>
          <w:highlight w:val="none"/>
          <w:lang w:val="en-US" w:eastAsia="zh-CN"/>
        </w:rPr>
        <w:t>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扩建</w:t>
      </w:r>
      <w:r>
        <w:rPr>
          <w:rFonts w:hint="eastAsia" w:ascii="Times New Roman" w:hAnsi="Times New Roman" w:eastAsia="宋体"/>
          <w:color w:val="FF0000"/>
          <w:highlight w:val="none"/>
          <w:lang w:val="en-US" w:eastAsia="zh-CN"/>
        </w:rPr>
        <w:t>后</w:t>
      </w:r>
      <w:r>
        <w:rPr>
          <w:rFonts w:hint="eastAsia" w:eastAsia="宋体"/>
          <w:color w:val="FF0000"/>
          <w:highlight w:val="none"/>
          <w:lang w:val="en-US" w:eastAsia="zh-CN"/>
        </w:rPr>
        <w:t>新增洗砂工序，在筛分工序分离出石子，产量为4000m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/a，10000t/a（按2.5g/cm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w:t>
      </w:r>
      <w:r>
        <w:rPr>
          <w:rFonts w:hint="eastAsia" w:eastAsia="宋体"/>
          <w:color w:val="FF0000"/>
          <w:highlight w:val="none"/>
          <w:lang w:val="en-US" w:eastAsia="zh-CN"/>
        </w:rPr>
        <w:t>约90%可以出售，剩余无法出售的回填采空区。本环评要求，能出售利用的优先出售利用，不能出售的再</w:t>
      </w:r>
      <w:r>
        <w:rPr>
          <w:rFonts w:hint="eastAsia" w:ascii="Times New Roman" w:hAnsi="Times New Roman" w:eastAsia="宋体"/>
          <w:color w:val="FF0000"/>
          <w:highlight w:val="none"/>
        </w:rPr>
        <w:t>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脱水底泥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洗砂工序产生的洗砂废水经沉淀池处理后，回用于洗砂工序，沉淀池底泥经浓缩脱水机脱水后，产量为3200m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/a，4096t/a（按1.28g/cm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最终全部回填到采空区。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废石子、脱水底泥优先回填至采坑1，待采坑1填满后，将采坑2成品堆场（采空区）作为回填区回填，成品堆场沿着采坑2推进。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新增劳动定员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生活垃圾产生量按0.5kg/人/天测算，现有劳动定员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人，年工作 240 天，生活垃圾产生量为</w:t>
      </w:r>
      <w:r>
        <w:rPr>
          <w:rFonts w:hint="eastAsia" w:eastAsia="宋体"/>
          <w:color w:val="auto"/>
          <w:highlight w:val="none"/>
          <w:lang w:val="en-US" w:eastAsia="zh-CN"/>
        </w:rPr>
        <w:t>1.44</w:t>
      </w:r>
      <w:r>
        <w:rPr>
          <w:rFonts w:hint="eastAsia" w:ascii="Times New Roman" w:hAnsi="Times New Roman" w:eastAsia="宋体"/>
          <w:color w:val="auto"/>
          <w:highlight w:val="none"/>
        </w:rPr>
        <w:t>t/a，集中收集后，按环卫部门要求统一处理。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表土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开采过程中未开采区会产生表土，年产生量约为3500m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，堆放于工业场地西侧新设表土堆场，用于矿区覆土。表土堆场采取苫盖措施。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具体排放见表</w:t>
      </w:r>
      <w:r>
        <w:rPr>
          <w:rFonts w:hint="eastAsia" w:ascii="Times New Roman" w:hAnsi="Times New Roman" w:eastAsia="宋体" w:cs="宋体"/>
          <w:b w:val="0"/>
          <w:bCs/>
          <w:color w:val="FF0000"/>
          <w:sz w:val="24"/>
          <w:szCs w:val="24"/>
          <w:highlight w:val="none"/>
          <w:lang w:val="en-US" w:eastAsia="zh-CN"/>
        </w:rPr>
        <w:t>5.</w:t>
      </w:r>
      <w:r>
        <w:rPr>
          <w:rFonts w:hint="eastAsia" w:eastAsia="宋体" w:cs="宋体"/>
          <w:b w:val="0"/>
          <w:bCs/>
          <w:color w:val="FF0000"/>
          <w:sz w:val="24"/>
          <w:szCs w:val="24"/>
          <w:highlight w:val="none"/>
          <w:lang w:val="en-US" w:eastAsia="zh-CN"/>
        </w:rPr>
        <w:t>5</w:t>
      </w:r>
      <w:r>
        <w:rPr>
          <w:rFonts w:hint="eastAsia" w:ascii="Times New Roman" w:hAnsi="Times New Roman" w:eastAsia="宋体" w:cs="宋体"/>
          <w:b w:val="0"/>
          <w:bCs/>
          <w:color w:val="FF0000"/>
          <w:sz w:val="24"/>
          <w:szCs w:val="24"/>
          <w:highlight w:val="none"/>
          <w:lang w:val="en-US" w:eastAsia="zh-CN"/>
        </w:rPr>
        <w:t>-1</w:t>
      </w:r>
      <w:r>
        <w:rPr>
          <w:rFonts w:hint="eastAsia" w:ascii="Times New Roman" w:hAnsi="Times New Roman" w:eastAsia="宋体" w:cs="宋体"/>
          <w:b w:val="0"/>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rPr>
      </w:pPr>
      <w:bookmarkStart w:id="217" w:name="4.2.4.1废石浸出毒性分析"/>
      <w:bookmarkEnd w:id="217"/>
      <w:r>
        <w:rPr>
          <w:rFonts w:hint="eastAsia" w:ascii="Times New Roman" w:hAnsi="Times New Roman" w:eastAsia="宋体"/>
          <w:b/>
          <w:bCs/>
          <w:color w:val="FF0000"/>
          <w:highlight w:val="none"/>
        </w:rPr>
        <w:t xml:space="preserve">表 </w:t>
      </w:r>
      <w:r>
        <w:rPr>
          <w:rFonts w:hint="eastAsia" w:ascii="Times New Roman" w:hAnsi="Times New Roman" w:eastAsia="宋体"/>
          <w:b/>
          <w:bCs/>
          <w:color w:val="FF0000"/>
          <w:highlight w:val="none"/>
          <w:lang w:val="en-US" w:eastAsia="zh-CN"/>
        </w:rPr>
        <w:t>5.</w:t>
      </w:r>
      <w:r>
        <w:rPr>
          <w:rFonts w:hint="eastAsia" w:eastAsia="宋体"/>
          <w:b/>
          <w:bCs/>
          <w:color w:val="FF0000"/>
          <w:highlight w:val="none"/>
          <w:lang w:val="en-US" w:eastAsia="zh-CN"/>
        </w:rPr>
        <w:t>5</w:t>
      </w:r>
      <w:r>
        <w:rPr>
          <w:rFonts w:hint="eastAsia" w:ascii="Times New Roman" w:hAnsi="Times New Roman" w:eastAsia="宋体"/>
          <w:b/>
          <w:bCs/>
          <w:color w:val="FF0000"/>
          <w:highlight w:val="none"/>
          <w:lang w:val="en-US" w:eastAsia="zh-CN"/>
        </w:rPr>
        <w:t>-1</w:t>
      </w:r>
      <w:r>
        <w:rPr>
          <w:rFonts w:hint="eastAsia" w:ascii="Times New Roman" w:hAnsi="Times New Roman" w:eastAsia="宋体"/>
          <w:b/>
          <w:bCs/>
          <w:color w:val="FF0000"/>
          <w:highlight w:val="none"/>
        </w:rPr>
        <w:tab/>
      </w:r>
      <w:r>
        <w:rPr>
          <w:rFonts w:hint="eastAsia" w:ascii="Times New Roman" w:hAnsi="Times New Roman" w:eastAsia="宋体"/>
          <w:b/>
          <w:bCs/>
          <w:color w:val="FF0000"/>
          <w:highlight w:val="none"/>
        </w:rPr>
        <w:t>项目固体废物产生情况一览表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8"/>
        <w:gridCol w:w="1223"/>
        <w:gridCol w:w="3658"/>
        <w:gridCol w:w="21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名称</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产生量</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处置方式</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固废性质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eastAsia="宋体"/>
                <w:color w:val="FF0000"/>
                <w:sz w:val="21"/>
                <w:szCs w:val="21"/>
                <w:highlight w:val="none"/>
                <w:lang w:val="en-US" w:eastAsia="zh-CN"/>
              </w:rPr>
              <w:t>废石子</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rPr>
            </w:pPr>
            <w:r>
              <w:rPr>
                <w:rFonts w:hint="eastAsia" w:eastAsia="宋体"/>
                <w:color w:val="FF0000"/>
                <w:sz w:val="21"/>
                <w:szCs w:val="21"/>
                <w:highlight w:val="none"/>
                <w:lang w:val="en-US" w:eastAsia="zh-CN"/>
              </w:rPr>
              <w:t>1000</w:t>
            </w:r>
            <w:r>
              <w:rPr>
                <w:rFonts w:hint="eastAsia" w:ascii="Times New Roman" w:hAnsi="Times New Roman" w:eastAsia="宋体"/>
                <w:color w:val="FF0000"/>
                <w:sz w:val="21"/>
                <w:szCs w:val="21"/>
                <w:highlight w:val="none"/>
              </w:rPr>
              <w:t>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回填至采空区</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eastAsia="宋体"/>
                <w:color w:val="FF0000"/>
                <w:sz w:val="21"/>
                <w:szCs w:val="21"/>
                <w:highlight w:val="none"/>
                <w:lang w:val="en-US" w:eastAsia="zh-CN"/>
              </w:rPr>
              <w:t>脱水底</w:t>
            </w:r>
            <w:r>
              <w:rPr>
                <w:rFonts w:hint="eastAsia" w:ascii="Times New Roman" w:hAnsi="Times New Roman" w:eastAsia="宋体"/>
                <w:color w:val="FF0000"/>
                <w:sz w:val="21"/>
                <w:szCs w:val="21"/>
                <w:highlight w:val="none"/>
              </w:rPr>
              <w:t>泥</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4096</w:t>
            </w:r>
            <w:r>
              <w:rPr>
                <w:rFonts w:hint="eastAsia" w:ascii="Times New Roman" w:hAnsi="Times New Roman" w:eastAsia="宋体"/>
                <w:color w:val="FF0000"/>
                <w:sz w:val="21"/>
                <w:szCs w:val="21"/>
                <w:highlight w:val="none"/>
              </w:rPr>
              <w:t>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经脱水后，回填至采空区</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生活垃圾</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1.44</w:t>
            </w:r>
            <w:r>
              <w:rPr>
                <w:rFonts w:hint="eastAsia" w:ascii="Times New Roman" w:hAnsi="Times New Roman" w:eastAsia="宋体"/>
                <w:color w:val="FF0000"/>
                <w:sz w:val="21"/>
                <w:szCs w:val="21"/>
                <w:highlight w:val="none"/>
              </w:rPr>
              <w:t>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按环卫部门要求处理</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生活垃圾</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表土</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3500m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堆放于工业场地西侧新设表土堆场，用于矿区覆土</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w:t>
            </w:r>
          </w:p>
        </w:tc>
      </w:tr>
    </w:tbl>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18" w:name="_Toc40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 xml:space="preserve"> 生态环境影响分析</w:t>
      </w:r>
      <w:bookmarkEnd w:id="21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19" w:name="4.2.5.1对土地利用的影响"/>
      <w:bookmarkEnd w:id="219"/>
      <w:bookmarkStart w:id="220" w:name="_Toc174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.1 对土地利用的影响</w:t>
      </w:r>
      <w:bookmarkEnd w:id="22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w:t>
      </w:r>
      <w:r>
        <w:rPr>
          <w:rFonts w:hint="eastAsia" w:eastAsia="宋体" w:cs="宋体"/>
          <w:b w:val="0"/>
          <w:bCs/>
          <w:color w:val="auto"/>
          <w:sz w:val="24"/>
          <w:szCs w:val="24"/>
          <w:highlight w:val="none"/>
          <w:lang w:val="en-US" w:eastAsia="zh-CN"/>
        </w:rPr>
        <w:t>无新增</w:t>
      </w:r>
      <w:r>
        <w:rPr>
          <w:rFonts w:hint="eastAsia" w:ascii="Times New Roman" w:hAnsi="Times New Roman" w:eastAsia="宋体" w:cs="宋体"/>
          <w:b w:val="0"/>
          <w:bCs/>
          <w:color w:val="auto"/>
          <w:sz w:val="24"/>
          <w:szCs w:val="24"/>
          <w:highlight w:val="none"/>
          <w:lang w:eastAsia="zh-CN"/>
        </w:rPr>
        <w:t>占地</w:t>
      </w:r>
      <w:r>
        <w:rPr>
          <w:rFonts w:hint="eastAsia"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占地面积为0.1034km</w:t>
      </w:r>
      <w:r>
        <w:rPr>
          <w:rFonts w:hint="eastAsia" w:eastAsia="宋体" w:cs="宋体"/>
          <w:b w:val="0"/>
          <w:bCs/>
          <w:color w:val="auto"/>
          <w:sz w:val="24"/>
          <w:szCs w:val="24"/>
          <w:highlight w:val="none"/>
          <w:vertAlign w:val="superscript"/>
          <w:lang w:val="en-US" w:eastAsia="zh-CN"/>
        </w:rPr>
        <w:t>2</w:t>
      </w:r>
      <w:r>
        <w:rPr>
          <w:rFonts w:hint="eastAsia" w:ascii="Times New Roman" w:hAnsi="Times New Roman" w:eastAsia="宋体" w:cs="宋体"/>
          <w:b w:val="0"/>
          <w:bCs/>
          <w:color w:val="auto"/>
          <w:sz w:val="24"/>
          <w:szCs w:val="24"/>
          <w:highlight w:val="none"/>
          <w:lang w:eastAsia="zh-CN"/>
        </w:rPr>
        <w:t>。经过现场调查可知，各占地区域的土地利用类型均为</w:t>
      </w:r>
      <w:r>
        <w:rPr>
          <w:rFonts w:hint="eastAsia" w:eastAsia="宋体" w:cs="宋体"/>
          <w:b w:val="0"/>
          <w:bCs/>
          <w:color w:val="auto"/>
          <w:sz w:val="24"/>
          <w:szCs w:val="24"/>
          <w:highlight w:val="none"/>
          <w:lang w:val="en-US" w:eastAsia="zh-CN"/>
        </w:rPr>
        <w:t>采矿用地</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 xml:space="preserve">）土地利用结构与功能的变化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项目占用的土地类型主要是草地。</w:t>
      </w:r>
      <w:r>
        <w:rPr>
          <w:rFonts w:hint="eastAsia" w:ascii="Times New Roman" w:hAnsi="Times New Roman" w:eastAsia="宋体" w:cs="宋体"/>
          <w:b w:val="0"/>
          <w:bCs/>
          <w:color w:val="FF0000"/>
          <w:sz w:val="24"/>
          <w:szCs w:val="24"/>
          <w:highlight w:val="none"/>
          <w:lang w:val="en-US" w:eastAsia="zh-CN"/>
        </w:rPr>
        <w:t>本企业已办理完成征</w:t>
      </w:r>
      <w:r>
        <w:rPr>
          <w:rFonts w:hint="eastAsia" w:eastAsia="宋体" w:cs="宋体"/>
          <w:b w:val="0"/>
          <w:bCs/>
          <w:color w:val="FF0000"/>
          <w:sz w:val="24"/>
          <w:szCs w:val="24"/>
          <w:highlight w:val="none"/>
          <w:lang w:val="en-US" w:eastAsia="zh-CN"/>
        </w:rPr>
        <w:t>占</w:t>
      </w:r>
      <w:r>
        <w:rPr>
          <w:rFonts w:hint="eastAsia" w:ascii="Times New Roman" w:hAnsi="Times New Roman" w:eastAsia="宋体" w:cs="宋体"/>
          <w:b w:val="0"/>
          <w:bCs/>
          <w:color w:val="FF0000"/>
          <w:sz w:val="24"/>
          <w:szCs w:val="24"/>
          <w:highlight w:val="none"/>
          <w:lang w:val="en-US" w:eastAsia="zh-CN"/>
        </w:rPr>
        <w:t>用地手续</w:t>
      </w:r>
      <w:r>
        <w:rPr>
          <w:rFonts w:hint="eastAsia" w:ascii="Times New Roman" w:hAnsi="Times New Roman" w:eastAsia="宋体" w:cs="宋体"/>
          <w:b w:val="0"/>
          <w:bCs/>
          <w:color w:val="FF0000"/>
          <w:sz w:val="24"/>
          <w:szCs w:val="24"/>
          <w:highlight w:val="none"/>
          <w:lang w:eastAsia="zh-CN"/>
        </w:rPr>
        <w:t>，</w:t>
      </w:r>
      <w:r>
        <w:rPr>
          <w:rFonts w:hint="eastAsia" w:ascii="Times New Roman" w:hAnsi="Times New Roman" w:eastAsia="宋体" w:cs="宋体"/>
          <w:b w:val="0"/>
          <w:bCs/>
          <w:color w:val="FF0000"/>
          <w:sz w:val="24"/>
          <w:szCs w:val="24"/>
          <w:highlight w:val="none"/>
          <w:lang w:val="en-US" w:eastAsia="zh-CN"/>
        </w:rPr>
        <w:t>无新增占地。</w:t>
      </w:r>
      <w:r>
        <w:rPr>
          <w:rFonts w:hint="eastAsia" w:ascii="Times New Roman" w:hAnsi="Times New Roman" w:eastAsia="宋体" w:cs="宋体"/>
          <w:b w:val="0"/>
          <w:bCs/>
          <w:color w:val="FF0000"/>
          <w:sz w:val="24"/>
          <w:szCs w:val="24"/>
          <w:highlight w:val="none"/>
          <w:lang w:eastAsia="zh-CN"/>
        </w:rPr>
        <w:t>土地利用结构将发生根本性的变化，原有的地表植被资源被破坏清除，增加了矿区的水土流失量。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）矿区开发对区域地形、地貌的影响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矿区原有地形地貌为低中山，</w:t>
      </w:r>
      <w:r>
        <w:rPr>
          <w:rFonts w:hint="eastAsia" w:eastAsia="宋体" w:cs="宋体"/>
          <w:b w:val="0"/>
          <w:bCs/>
          <w:color w:val="auto"/>
          <w:sz w:val="24"/>
          <w:szCs w:val="24"/>
          <w:highlight w:val="none"/>
          <w:lang w:val="en-US" w:eastAsia="zh-CN"/>
        </w:rPr>
        <w:t>采坑</w:t>
      </w:r>
      <w:r>
        <w:rPr>
          <w:rFonts w:hint="eastAsia" w:ascii="Times New Roman" w:hAnsi="Times New Roman" w:eastAsia="宋体" w:cs="宋体"/>
          <w:b w:val="0"/>
          <w:bCs/>
          <w:color w:val="auto"/>
          <w:sz w:val="24"/>
          <w:szCs w:val="24"/>
          <w:highlight w:val="none"/>
          <w:lang w:eastAsia="zh-CN"/>
        </w:rPr>
        <w:t>、采矿工业场地的建设过程，对场地进行平整清理，使小范围内的地形、地貌发生一定变化。同时</w:t>
      </w:r>
      <w:r>
        <w:rPr>
          <w:rFonts w:hint="eastAsia" w:eastAsia="宋体" w:cs="宋体"/>
          <w:b w:val="0"/>
          <w:bCs/>
          <w:color w:val="auto"/>
          <w:sz w:val="24"/>
          <w:szCs w:val="24"/>
          <w:highlight w:val="none"/>
          <w:lang w:val="en-US" w:eastAsia="zh-CN"/>
        </w:rPr>
        <w:t>采坑四周</w:t>
      </w:r>
      <w:r>
        <w:rPr>
          <w:rFonts w:hint="eastAsia" w:ascii="Times New Roman" w:hAnsi="Times New Roman" w:eastAsia="宋体" w:cs="宋体"/>
          <w:b w:val="0"/>
          <w:bCs/>
          <w:color w:val="auto"/>
          <w:sz w:val="24"/>
          <w:szCs w:val="24"/>
          <w:highlight w:val="none"/>
          <w:lang w:eastAsia="zh-CN"/>
        </w:rPr>
        <w:t>，在无植被覆盖时，极易遭受风蚀和水蚀，威胁周围的植被。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运营期间，场区表土单独存放，及时覆土。废石</w:t>
      </w:r>
      <w:r>
        <w:rPr>
          <w:rFonts w:hint="eastAsia" w:eastAsia="宋体" w:cs="宋体"/>
          <w:b w:val="0"/>
          <w:bCs/>
          <w:color w:val="auto"/>
          <w:sz w:val="24"/>
          <w:szCs w:val="24"/>
          <w:highlight w:val="none"/>
          <w:lang w:val="en-US" w:eastAsia="zh-CN"/>
        </w:rPr>
        <w:t>能回用的优先出售利用，不能回用的</w:t>
      </w:r>
      <w:r>
        <w:rPr>
          <w:rFonts w:hint="eastAsia" w:ascii="Times New Roman" w:hAnsi="Times New Roman" w:eastAsia="宋体" w:cs="宋体"/>
          <w:b w:val="0"/>
          <w:bCs/>
          <w:color w:val="auto"/>
          <w:sz w:val="24"/>
          <w:szCs w:val="24"/>
          <w:highlight w:val="none"/>
          <w:lang w:eastAsia="zh-CN"/>
        </w:rPr>
        <w:t>及时回填到采空</w:t>
      </w:r>
      <w:r>
        <w:rPr>
          <w:rFonts w:hint="eastAsia" w:ascii="Times New Roman" w:hAnsi="Times New Roman" w:eastAsia="宋体" w:cs="宋体"/>
          <w:b w:val="0"/>
          <w:bCs/>
          <w:color w:val="FF0000"/>
          <w:sz w:val="24"/>
          <w:szCs w:val="24"/>
          <w:highlight w:val="none"/>
          <w:lang w:eastAsia="zh-CN"/>
        </w:rPr>
        <w:t>区。同时对矿区的工业场地周边进行绿化，可</w:t>
      </w:r>
      <w:r>
        <w:rPr>
          <w:rFonts w:hint="eastAsia" w:ascii="Times New Roman" w:hAnsi="Times New Roman" w:eastAsia="宋体" w:cs="宋体"/>
          <w:b w:val="0"/>
          <w:bCs/>
          <w:color w:val="auto"/>
          <w:sz w:val="24"/>
          <w:szCs w:val="24"/>
          <w:highlight w:val="none"/>
          <w:lang w:eastAsia="zh-CN"/>
        </w:rPr>
        <w:t>取得一定的经济效益，又能起到防治水土流失、美化环境的社会效益。将项目建设运营对区域地形、地貌影响降至最低。</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1" w:name="4.2.5.2对水土流失的影响"/>
      <w:bookmarkEnd w:id="221"/>
      <w:bookmarkStart w:id="222" w:name="_Toc29508"/>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.2 对水土流失的影响</w:t>
      </w:r>
      <w:bookmarkEnd w:id="222"/>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项目的整体运营对所在区水土流失会造成一定程度的影响，主要是由于</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堆场经雨水或洪水冲刷后引发的。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产生水土流失的区域，土壤肥力流失，植物生存条件丧生，使地表的植被生物量损失，农作物被破坏或减产。项目建设完毕投入运营后，按照有关要求，需要按照水保方案恢复植被和控制水土流失。根据当地气候、土壤条件及植被破坏后恢复情况调查，植被恢复到充分发挥水保功能约需要3年，因此在运营后的前3年内，水土流失依然存在，但会逐渐降低。植被恢复后，各区域场地已大部分进行了平整和护坡，随着建构筑物的占压和植被的恢复，水土流失将恢复到施工前的水平或有所改善。</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3" w:name="4.2.5.3对土壤植物资源的影响"/>
      <w:bookmarkEnd w:id="223"/>
      <w:bookmarkStart w:id="224" w:name="_Toc3024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.3 对土壤植物资源的影响</w:t>
      </w:r>
      <w:bookmarkEnd w:id="22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 xml:space="preserve">）占地影响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eastAsia="zh-CN"/>
        </w:rPr>
      </w:pPr>
      <w:r>
        <w:rPr>
          <w:rFonts w:hint="eastAsia" w:ascii="Times New Roman" w:hAnsi="Times New Roman" w:eastAsia="宋体" w:cs="宋体"/>
          <w:b w:val="0"/>
          <w:bCs/>
          <w:color w:val="auto"/>
          <w:sz w:val="24"/>
          <w:szCs w:val="24"/>
          <w:highlight w:val="none"/>
          <w:lang w:eastAsia="zh-CN"/>
        </w:rPr>
        <w:t>工程占地类型主要为项目工程占地类型主要为</w:t>
      </w:r>
      <w:r>
        <w:rPr>
          <w:rFonts w:hint="eastAsia" w:eastAsia="宋体" w:cs="宋体"/>
          <w:b w:val="0"/>
          <w:bCs/>
          <w:color w:val="auto"/>
          <w:sz w:val="24"/>
          <w:szCs w:val="24"/>
          <w:highlight w:val="none"/>
          <w:lang w:val="en-US" w:eastAsia="zh-CN"/>
        </w:rPr>
        <w:t>采矿用地</w:t>
      </w:r>
      <w:r>
        <w:rPr>
          <w:rFonts w:hint="eastAsia" w:ascii="Times New Roman" w:hAnsi="Times New Roman" w:eastAsia="宋体" w:cs="宋体"/>
          <w:b w:val="0"/>
          <w:bCs/>
          <w:color w:val="auto"/>
          <w:sz w:val="24"/>
          <w:szCs w:val="24"/>
          <w:highlight w:val="none"/>
          <w:lang w:eastAsia="zh-CN"/>
        </w:rPr>
        <w:t>。占地范围内植被全部被清除，植被破坏面积为</w:t>
      </w:r>
      <w:r>
        <w:rPr>
          <w:rFonts w:hint="eastAsia" w:eastAsia="宋体" w:cs="宋体"/>
          <w:b w:val="0"/>
          <w:bCs/>
          <w:color w:val="auto"/>
          <w:sz w:val="24"/>
          <w:szCs w:val="24"/>
          <w:highlight w:val="none"/>
          <w:lang w:val="en-US" w:eastAsia="zh-CN"/>
        </w:rPr>
        <w:t>0.1034k</w:t>
      </w:r>
      <w:r>
        <w:rPr>
          <w:rFonts w:hint="eastAsia" w:ascii="Times New Roman" w:hAnsi="Times New Roman" w:eastAsia="宋体" w:cs="宋体"/>
          <w:b w:val="0"/>
          <w:bCs/>
          <w:color w:val="auto"/>
          <w:sz w:val="24"/>
          <w:szCs w:val="24"/>
          <w:highlight w:val="none"/>
          <w:lang w:eastAsia="zh-CN"/>
        </w:rPr>
        <w:t>m</w:t>
      </w:r>
      <w:r>
        <w:rPr>
          <w:rFonts w:hint="eastAsia" w:ascii="Times New Roman" w:hAnsi="Times New Roman" w:eastAsia="宋体" w:cs="宋体"/>
          <w:b w:val="0"/>
          <w:bCs/>
          <w:color w:val="auto"/>
          <w:sz w:val="24"/>
          <w:szCs w:val="24"/>
          <w:highlight w:val="none"/>
          <w:vertAlign w:val="superscript"/>
          <w:lang w:eastAsia="zh-CN"/>
        </w:rPr>
        <w:t>2</w:t>
      </w:r>
      <w:r>
        <w:rPr>
          <w:rFonts w:hint="eastAsia" w:ascii="Times New Roman" w:hAnsi="Times New Roman" w:eastAsia="宋体" w:cs="宋体"/>
          <w:b w:val="0"/>
          <w:bCs/>
          <w:color w:val="auto"/>
          <w:sz w:val="24"/>
          <w:szCs w:val="24"/>
          <w:highlight w:val="none"/>
          <w:lang w:eastAsia="zh-CN"/>
        </w:rPr>
        <w:t>，造成植物损失量为</w:t>
      </w:r>
      <w:r>
        <w:rPr>
          <w:rFonts w:hint="eastAsia" w:eastAsia="宋体" w:cs="宋体"/>
          <w:b w:val="0"/>
          <w:bCs/>
          <w:color w:val="auto"/>
          <w:sz w:val="24"/>
          <w:szCs w:val="24"/>
          <w:highlight w:val="none"/>
          <w:lang w:val="en-US" w:eastAsia="zh-CN"/>
        </w:rPr>
        <w:t>10.3t</w:t>
      </w:r>
      <w:r>
        <w:rPr>
          <w:rFonts w:hint="eastAsia" w:ascii="Times New Roman" w:hAnsi="Times New Roman" w:eastAsia="宋体" w:cs="宋体"/>
          <w:b w:val="0"/>
          <w:bCs/>
          <w:color w:val="auto"/>
          <w:sz w:val="24"/>
          <w:szCs w:val="24"/>
          <w:highlight w:val="none"/>
          <w:lang w:eastAsia="zh-CN"/>
        </w:rPr>
        <w:t>/a，使局部绿地面积减少，生态调节功能逐渐减弱。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）粉尘对植被影响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堆放、</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铲装</w:t>
      </w:r>
      <w:r>
        <w:rPr>
          <w:rFonts w:hint="eastAsia"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筛分等</w:t>
      </w:r>
      <w:r>
        <w:rPr>
          <w:rFonts w:hint="eastAsia" w:ascii="Times New Roman" w:hAnsi="Times New Roman" w:eastAsia="宋体" w:cs="宋体"/>
          <w:b w:val="0"/>
          <w:bCs/>
          <w:color w:val="auto"/>
          <w:sz w:val="24"/>
          <w:szCs w:val="24"/>
          <w:highlight w:val="none"/>
          <w:lang w:eastAsia="zh-CN"/>
        </w:rPr>
        <w:t>过程及运输道路产生的悬浮微粒自然沉降在周围植物的叶片上，阻塞气孔，影响植物呼吸和光合作用。同时，覆尘叶片吸收红外光辐射的能力增强，导致叶温增高，蒸腾速度加快，引起失水，使植物生长发育不良。本项目在开采、装卸和运输过程、废石临时堆场均采取洒水抑尘措施，尽可能降低扩散到附近植被的粉尘量，使粉尘对附近植被影响降至最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 xml:space="preserve">）运输影响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eastAsia="宋体" w:cs="宋体"/>
          <w:b w:val="0"/>
          <w:bCs/>
          <w:color w:val="FF0000"/>
          <w:sz w:val="24"/>
          <w:szCs w:val="24"/>
          <w:highlight w:val="none"/>
          <w:lang w:val="en-US" w:eastAsia="zh-CN"/>
        </w:rPr>
        <w:t>厂内砂料运输及外运</w:t>
      </w:r>
      <w:r>
        <w:rPr>
          <w:rFonts w:hint="eastAsia" w:ascii="Times New Roman" w:hAnsi="Times New Roman" w:eastAsia="宋体" w:cs="宋体"/>
          <w:b w:val="0"/>
          <w:bCs/>
          <w:color w:val="FF0000"/>
          <w:sz w:val="24"/>
          <w:szCs w:val="24"/>
          <w:highlight w:val="none"/>
          <w:lang w:eastAsia="zh-CN"/>
        </w:rPr>
        <w:t>道路在运营过程中，如果缺乏规范和约束，过往车辆和工作人员会对道路两侧的植</w:t>
      </w:r>
      <w:r>
        <w:rPr>
          <w:rFonts w:hint="eastAsia" w:ascii="Times New Roman" w:hAnsi="Times New Roman" w:eastAsia="宋体" w:cs="宋体"/>
          <w:b w:val="0"/>
          <w:bCs/>
          <w:color w:val="auto"/>
          <w:sz w:val="24"/>
          <w:szCs w:val="24"/>
          <w:highlight w:val="none"/>
          <w:lang w:eastAsia="zh-CN"/>
        </w:rPr>
        <w:t>被随意碾压和践踏，造成土壤板结、物种多样性降低、植被覆盖度降低、破坏道路两侧草地。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）对植物资源影响程度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由于项目运营后占地较小，经调查周围没有珍稀濒危及受保护的植物物种。 随着矿区土地复垦规划的落实，工程措施与生物措施的逐步实施，矿区人工生态系统的建设将取代原有的自然生态系统，逐渐恢复矿区的植被覆盖率和生物产量。加强运营期的管理，规范工程活动范围和采矿行为，对工作人员进行环保培训，尽量不要随意碾压和践踏植物；另外，因地制宜地选取同类植物物种，种植在可能生长的区域，从而补给被破坏的植物资源。在矿山运营期及服务期满后，可使负面影响逐渐减小，恢复到原有生态功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5" w:name="4.2.5.4对动物资源的影响"/>
      <w:bookmarkEnd w:id="225"/>
      <w:bookmarkStart w:id="226" w:name="_Toc787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.4 对动物资源的影响</w:t>
      </w:r>
      <w:bookmarkEnd w:id="226"/>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项目运营期间的机械噪声、人为活动、车辆运输、植被破坏等干扰都将对项目区及其附近的野生动物栖息、繁殖产生影响，使该区的鸟类在种类和数量上产生一定程度的变化。</w:t>
      </w:r>
      <w:r>
        <w:rPr>
          <w:rFonts w:hint="eastAsia" w:eastAsia="宋体" w:cs="宋体"/>
          <w:b w:val="0"/>
          <w:bCs/>
          <w:color w:val="auto"/>
          <w:sz w:val="24"/>
          <w:szCs w:val="24"/>
          <w:highlight w:val="none"/>
          <w:lang w:val="en-US" w:eastAsia="zh-CN"/>
        </w:rPr>
        <w:t>矿坑开采</w:t>
      </w:r>
      <w:r>
        <w:rPr>
          <w:rFonts w:hint="eastAsia" w:ascii="Times New Roman" w:hAnsi="Times New Roman" w:eastAsia="宋体" w:cs="宋体"/>
          <w:b w:val="0"/>
          <w:bCs/>
          <w:color w:val="auto"/>
          <w:sz w:val="24"/>
          <w:szCs w:val="24"/>
          <w:highlight w:val="none"/>
          <w:lang w:eastAsia="zh-CN"/>
        </w:rPr>
        <w:t>破坏了原有天然草地，对周边区域的啮齿类、两栖类和爬行类动物产生一定影响，使它们移居到周围干扰较小的地区，并在新的环境中适应和生存。由于项目区没有固定或必经的动物迁徙通道，因此，本项目的运营不会阻隔这些野生动物的迁徙通道，不会对野生动物产生较大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矿区道路对地面动物起着分离和阻隔的作用，可能限制某些动物进入它们习惯的繁殖区或季节性觅食区，使之不能更大范围的求偶和觅食，对动物的生活习性产生一定的影响。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考虑到项目后期生态建设的开展，现有废弃的采矿工程占地范围得到恢复治 理，植被覆盖度逐步提高，受扰动的生态环境会逐步得到恢复，原有野生动物的栖息与活动的环境将得到改善。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综上，从项目区占地特征上看，占地范围内动物资源匮乏，在按环评及水土保持采取相应措施、加强生态建设及对施工人员管理的条件下，项目实施不会使评价区野生动物产生较大影响。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7" w:name="4.2.5.5对景观环境的影响"/>
      <w:bookmarkEnd w:id="227"/>
      <w:bookmarkStart w:id="228" w:name="_Toc1313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.5 对景观环境的影响</w:t>
      </w:r>
      <w:bookmarkEnd w:id="228"/>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地质地貌景观是地壳长期演化遗留下来的不可再生的地址遗产，是一种宝贵的自然资源。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项目运营后，原有的草地</w:t>
      </w:r>
      <w:r>
        <w:rPr>
          <w:rFonts w:hint="eastAsia" w:eastAsia="宋体" w:cs="宋体"/>
          <w:b w:val="0"/>
          <w:bCs/>
          <w:color w:val="auto"/>
          <w:sz w:val="24"/>
          <w:szCs w:val="24"/>
          <w:highlight w:val="none"/>
          <w:lang w:val="en-US" w:eastAsia="zh-CN"/>
        </w:rPr>
        <w:t>矿山开采、工业场地</w:t>
      </w:r>
      <w:r>
        <w:rPr>
          <w:rFonts w:hint="eastAsia" w:ascii="Times New Roman" w:hAnsi="Times New Roman" w:eastAsia="宋体" w:cs="宋体"/>
          <w:b w:val="0"/>
          <w:bCs/>
          <w:color w:val="auto"/>
          <w:sz w:val="24"/>
          <w:szCs w:val="24"/>
          <w:highlight w:val="none"/>
          <w:lang w:eastAsia="zh-CN"/>
        </w:rPr>
        <w:t>等设施，工程的建设势必造成对周围的地质地貌、地面植被、地质构造和其他自然环境的影响和破坏，使项目区自然景观进一步减少，人工建立的工矿景观扩大，造成在空间上的不连续，增加景观的异质性，使得评价区工矿景观的比重逐年增加，资源基质斑块草地的景观破碎度增加，景观稳定性降低。引起了局部景观格局的破碎化与“岛屿化扩大”的现象。这种影响和破坏的程度与工程所处的地理位、规模有关，规模越大，对自然景观的影响和破坏越严重。项目建设位于干旱草原低山区域，项目区无重要风景区，景观价值较低，通过生态补偿、恢复等措施，可以进行弥补对当地景观影响，因此项目的运营对自然景观的视觉效果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9" w:name="4.2.5.7对生态功能影响"/>
      <w:bookmarkEnd w:id="229"/>
      <w:bookmarkStart w:id="230" w:name="_Toc9198"/>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.6 对生态功能影响</w:t>
      </w:r>
      <w:bookmarkEnd w:id="23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）对生态系统完整性的影响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项目区现状生态系统主要为草地生态系统，建成后生态环境的变化趋势如下：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①</w:t>
      </w:r>
      <w:r>
        <w:rPr>
          <w:rFonts w:hint="eastAsia" w:ascii="Times New Roman" w:hAnsi="Times New Roman" w:eastAsia="宋体" w:cs="宋体"/>
          <w:b w:val="0"/>
          <w:bCs/>
          <w:color w:val="auto"/>
          <w:sz w:val="24"/>
          <w:szCs w:val="24"/>
          <w:highlight w:val="none"/>
          <w:lang w:eastAsia="zh-CN"/>
        </w:rPr>
        <w:t>项目开发总体上不会引起评价区生物多样性的改变，但在局部（如工业场地、</w:t>
      </w:r>
      <w:r>
        <w:rPr>
          <w:rFonts w:hint="eastAsia" w:eastAsia="宋体" w:cs="宋体"/>
          <w:b w:val="0"/>
          <w:bCs/>
          <w:color w:val="auto"/>
          <w:sz w:val="24"/>
          <w:szCs w:val="24"/>
          <w:highlight w:val="none"/>
          <w:lang w:val="en-US" w:eastAsia="zh-CN"/>
        </w:rPr>
        <w:t>采场</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堆场）会使人工生态系统的比重有所增大。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②</w:t>
      </w:r>
      <w:r>
        <w:rPr>
          <w:rFonts w:hint="eastAsia" w:ascii="Times New Roman" w:hAnsi="Times New Roman" w:eastAsia="宋体" w:cs="宋体"/>
          <w:b w:val="0"/>
          <w:bCs/>
          <w:color w:val="auto"/>
          <w:sz w:val="24"/>
          <w:szCs w:val="24"/>
          <w:highlight w:val="none"/>
          <w:lang w:eastAsia="zh-CN"/>
        </w:rPr>
        <w:t>采矿造成的废石会对矿区内的草地生态系统造成一定的不利影响。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③</w:t>
      </w:r>
      <w:r>
        <w:rPr>
          <w:rFonts w:hint="eastAsia" w:ascii="Times New Roman" w:hAnsi="Times New Roman" w:eastAsia="宋体" w:cs="宋体"/>
          <w:b w:val="0"/>
          <w:bCs/>
          <w:color w:val="auto"/>
          <w:sz w:val="24"/>
          <w:szCs w:val="24"/>
          <w:highlight w:val="none"/>
          <w:lang w:eastAsia="zh-CN"/>
        </w:rPr>
        <w:t>由于工业场地的建设以及</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的堆存，使原有地貌发生变化，景观破碎程度增加，生态系统各类型的比例将发生变化，但不会大幅度改变。</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80" w:leftChars="0" w:firstLine="0" w:firstLineChars="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对生态功能的影响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项目区植被以草地为主， 项目建设产生的破坏面经过土地复垦后，一段时间后植被可自然恢复。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同时项目占地较小，且企业按水保设计和环评措施对工业场地进行绿化，矿 山服务期满时对工业场地覆土恢复植被，至运行中后期及闭矿后，水土流失可以 得到有效控制，项目建设对主导服务功能影响较小。因此项目的建设对生境破碎 化作用不明显，对主导服务功能影响较小。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31" w:name="4.2.5.8小结"/>
      <w:bookmarkEnd w:id="231"/>
      <w:bookmarkStart w:id="232" w:name="_Toc3150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.7 小结</w:t>
      </w:r>
      <w:bookmarkEnd w:id="232"/>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在项目建设过程中，使部分植被受到破坏，但总的植被分布格局不会被打破。运营中，周边生态环境受到人为活动的影响将逐渐增加，导致原有生态环境结构发生一定调整，但在积极实施生态恢复与防治的情况下，其影响将被控制在一定范围内，并具有改善的可能性。同时建设单位在严格按照土地复垦规定进行土地复垦，恢复植被，项目对评价区的生态影响可以降低到最低程度。工程建设及运营期带来的影响是区域自然体系可以承受的。</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FF0000"/>
          <w:highlight w:val="none"/>
          <w:lang w:val="en-US" w:eastAsia="zh-CN"/>
        </w:rPr>
      </w:pPr>
      <w:bookmarkStart w:id="233" w:name="_bookmark81"/>
      <w:bookmarkEnd w:id="233"/>
      <w:bookmarkStart w:id="234" w:name="_bookmark83"/>
      <w:bookmarkEnd w:id="234"/>
      <w:bookmarkStart w:id="235" w:name="4.2.6土壤影响分析"/>
      <w:bookmarkEnd w:id="235"/>
      <w:bookmarkStart w:id="236" w:name="4.2.8运输道路沿线影响分析"/>
      <w:bookmarkEnd w:id="236"/>
      <w:bookmarkStart w:id="237" w:name="_Toc20539"/>
      <w:bookmarkStart w:id="238" w:name="_Toc8078"/>
      <w:r>
        <w:rPr>
          <w:rFonts w:hint="eastAsia" w:ascii="Times New Roman" w:hAnsi="Times New Roman" w:eastAsia="宋体"/>
          <w:b/>
          <w:bCs w:val="0"/>
          <w:color w:val="FF0000"/>
          <w:highlight w:val="none"/>
          <w:lang w:val="en-US" w:eastAsia="zh-CN"/>
        </w:rPr>
        <w:t>5.</w:t>
      </w:r>
      <w:r>
        <w:rPr>
          <w:rFonts w:hint="eastAsia" w:eastAsia="宋体"/>
          <w:b/>
          <w:bCs w:val="0"/>
          <w:color w:val="FF0000"/>
          <w:highlight w:val="none"/>
          <w:lang w:val="en-US" w:eastAsia="zh-CN"/>
        </w:rPr>
        <w:t>7</w:t>
      </w:r>
      <w:r>
        <w:rPr>
          <w:rFonts w:hint="eastAsia" w:ascii="Times New Roman" w:hAnsi="Times New Roman" w:eastAsia="宋体"/>
          <w:b/>
          <w:bCs w:val="0"/>
          <w:color w:val="FF0000"/>
          <w:highlight w:val="none"/>
          <w:lang w:val="en-US" w:eastAsia="zh-CN"/>
        </w:rPr>
        <w:t xml:space="preserve"> 土壤影响分析</w:t>
      </w:r>
      <w:bookmarkEnd w:id="237"/>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FF0000"/>
          <w:highlight w:val="none"/>
          <w:lang w:val="en-US" w:eastAsia="zh-CN"/>
        </w:rPr>
      </w:pPr>
      <w:bookmarkStart w:id="239" w:name="4.2.6.1土壤污染途径"/>
      <w:bookmarkEnd w:id="239"/>
      <w:bookmarkStart w:id="240" w:name="_Toc23483"/>
      <w:r>
        <w:rPr>
          <w:rFonts w:hint="eastAsia" w:ascii="Times New Roman" w:hAnsi="Times New Roman" w:eastAsia="宋体"/>
          <w:b/>
          <w:bCs w:val="0"/>
          <w:color w:val="FF0000"/>
          <w:highlight w:val="none"/>
          <w:lang w:val="en-US" w:eastAsia="zh-CN"/>
        </w:rPr>
        <w:t>5.</w:t>
      </w:r>
      <w:r>
        <w:rPr>
          <w:rFonts w:hint="eastAsia" w:eastAsia="宋体"/>
          <w:b/>
          <w:bCs w:val="0"/>
          <w:color w:val="FF0000"/>
          <w:highlight w:val="none"/>
          <w:lang w:val="en-US" w:eastAsia="zh-CN"/>
        </w:rPr>
        <w:t>7</w:t>
      </w:r>
      <w:r>
        <w:rPr>
          <w:rFonts w:hint="eastAsia" w:ascii="Times New Roman" w:hAnsi="Times New Roman" w:eastAsia="宋体"/>
          <w:b/>
          <w:bCs w:val="0"/>
          <w:color w:val="FF0000"/>
          <w:highlight w:val="none"/>
          <w:lang w:val="en-US" w:eastAsia="zh-CN"/>
        </w:rPr>
        <w:t>.1 土壤污染途径</w:t>
      </w:r>
      <w:bookmarkEnd w:id="240"/>
      <w:r>
        <w:rPr>
          <w:rFonts w:hint="eastAsia" w:ascii="Times New Roman" w:hAnsi="Times New Roman" w:eastAsia="宋体"/>
          <w:b/>
          <w:bCs w:val="0"/>
          <w:color w:val="FF000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根据本项目的排污特点，污染土壤的途径主要有以下三种：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（1）生产过程中产生的废气污染物通过沉降或降水进入土壤，造成土壤污染。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（2）生产过程中会产生固体废物，若固体废物不按要求储存和处置将可能造成土壤污染。</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FF0000"/>
          <w:highlight w:val="none"/>
          <w:lang w:val="en-US" w:eastAsia="zh-CN"/>
        </w:rPr>
      </w:pPr>
      <w:bookmarkStart w:id="241" w:name="4.2.6.1土壤环境影响分析"/>
      <w:bookmarkEnd w:id="241"/>
      <w:bookmarkStart w:id="242" w:name="_Toc22710"/>
      <w:r>
        <w:rPr>
          <w:rFonts w:hint="eastAsia" w:ascii="Times New Roman" w:hAnsi="Times New Roman" w:eastAsia="宋体"/>
          <w:b/>
          <w:bCs w:val="0"/>
          <w:color w:val="FF0000"/>
          <w:highlight w:val="none"/>
          <w:lang w:val="en-US" w:eastAsia="zh-CN"/>
        </w:rPr>
        <w:t>5.</w:t>
      </w:r>
      <w:r>
        <w:rPr>
          <w:rFonts w:hint="eastAsia" w:eastAsia="宋体"/>
          <w:b/>
          <w:bCs w:val="0"/>
          <w:color w:val="FF0000"/>
          <w:highlight w:val="none"/>
          <w:lang w:val="en-US" w:eastAsia="zh-CN"/>
        </w:rPr>
        <w:t>7</w:t>
      </w:r>
      <w:r>
        <w:rPr>
          <w:rFonts w:hint="eastAsia" w:ascii="Times New Roman" w:hAnsi="Times New Roman" w:eastAsia="宋体"/>
          <w:b/>
          <w:bCs w:val="0"/>
          <w:color w:val="FF0000"/>
          <w:highlight w:val="none"/>
          <w:lang w:val="en-US" w:eastAsia="zh-CN"/>
        </w:rPr>
        <w:t>.2 土壤环境影响分析</w:t>
      </w:r>
      <w:bookmarkEnd w:id="24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w:t>
      </w:r>
      <w:r>
        <w:rPr>
          <w:rFonts w:hint="eastAsia" w:ascii="Times New Roman" w:hAnsi="Times New Roman" w:eastAsia="宋体" w:cs="宋体"/>
          <w:b w:val="0"/>
          <w:bCs/>
          <w:color w:val="FF0000"/>
          <w:sz w:val="24"/>
          <w:szCs w:val="24"/>
          <w:highlight w:val="none"/>
          <w:lang w:val="en-US" w:eastAsia="zh-CN"/>
        </w:rPr>
        <w:t>1</w:t>
      </w:r>
      <w:r>
        <w:rPr>
          <w:rFonts w:hint="eastAsia" w:ascii="Times New Roman" w:hAnsi="Times New Roman" w:eastAsia="宋体" w:cs="宋体"/>
          <w:b w:val="0"/>
          <w:bCs/>
          <w:color w:val="FF0000"/>
          <w:sz w:val="24"/>
          <w:szCs w:val="24"/>
          <w:highlight w:val="none"/>
          <w:lang w:eastAsia="zh-CN"/>
        </w:rPr>
        <w:t xml:space="preserve">）大气沉降对土壤影响分析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本项目废气主要为采矿作业扬尘、矿石及废石堆场扬尘、运输扬尘，项目对生产过程中产生的废气都采取了相应的处理措施，确保各类废气污染物达标排放，可以有效减少废气污染物通过沉降或降水进入土壤的量，对土壤产生的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w:t>
      </w:r>
      <w:r>
        <w:rPr>
          <w:rFonts w:hint="eastAsia" w:ascii="Times New Roman" w:hAnsi="Times New Roman" w:eastAsia="宋体" w:cs="宋体"/>
          <w:b w:val="0"/>
          <w:bCs/>
          <w:color w:val="FF0000"/>
          <w:sz w:val="24"/>
          <w:szCs w:val="24"/>
          <w:highlight w:val="none"/>
          <w:lang w:val="en-US" w:eastAsia="zh-CN"/>
        </w:rPr>
        <w:t>2</w:t>
      </w:r>
      <w:r>
        <w:rPr>
          <w:rFonts w:hint="eastAsia" w:ascii="Times New Roman" w:hAnsi="Times New Roman" w:eastAsia="宋体" w:cs="宋体"/>
          <w:b w:val="0"/>
          <w:bCs/>
          <w:color w:val="FF0000"/>
          <w:sz w:val="24"/>
          <w:szCs w:val="24"/>
          <w:highlight w:val="none"/>
          <w:lang w:eastAsia="zh-CN"/>
        </w:rPr>
        <w:t>）固废对土壤影响分析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FF0000"/>
          <w:sz w:val="24"/>
          <w:szCs w:val="24"/>
          <w:highlight w:val="none"/>
          <w:lang w:eastAsia="zh-CN"/>
        </w:rPr>
        <w:t>项目运营期间产生</w:t>
      </w:r>
      <w:r>
        <w:rPr>
          <w:rFonts w:hint="eastAsia" w:ascii="Times New Roman" w:hAnsi="Times New Roman" w:eastAsia="宋体" w:cs="宋体"/>
          <w:b w:val="0"/>
          <w:bCs/>
          <w:color w:val="FF0000"/>
          <w:sz w:val="24"/>
          <w:szCs w:val="24"/>
          <w:highlight w:val="none"/>
          <w:lang w:val="en-US" w:eastAsia="zh-CN"/>
        </w:rPr>
        <w:t>无法利用废石</w:t>
      </w:r>
      <w:r>
        <w:rPr>
          <w:rFonts w:hint="eastAsia" w:ascii="Times New Roman" w:hAnsi="Times New Roman" w:eastAsia="宋体" w:cs="宋体"/>
          <w:b w:val="0"/>
          <w:bCs/>
          <w:color w:val="FF0000"/>
          <w:sz w:val="24"/>
          <w:szCs w:val="24"/>
          <w:highlight w:val="none"/>
          <w:lang w:eastAsia="zh-CN"/>
        </w:rPr>
        <w:t>及时用于回填</w:t>
      </w:r>
      <w:r>
        <w:rPr>
          <w:rFonts w:hint="eastAsia" w:ascii="Times New Roman" w:hAnsi="Times New Roman" w:eastAsia="宋体" w:cs="宋体"/>
          <w:b w:val="0"/>
          <w:bCs/>
          <w:color w:val="FF0000"/>
          <w:sz w:val="24"/>
          <w:szCs w:val="24"/>
          <w:highlight w:val="none"/>
          <w:lang w:val="en-US" w:eastAsia="zh-CN"/>
        </w:rPr>
        <w:t>采空区</w:t>
      </w:r>
      <w:r>
        <w:rPr>
          <w:rFonts w:hint="eastAsia" w:ascii="Times New Roman" w:hAnsi="Times New Roman" w:eastAsia="宋体" w:cs="宋体"/>
          <w:b w:val="0"/>
          <w:bCs/>
          <w:color w:val="FF0000"/>
          <w:sz w:val="24"/>
          <w:szCs w:val="24"/>
          <w:highlight w:val="none"/>
          <w:lang w:eastAsia="zh-CN"/>
        </w:rPr>
        <w:t>。沉淀池内的污泥经脱水后，回填至采空区。生活垃圾实行分类管理，集中收集，按当地环卫部门要求处理。</w:t>
      </w:r>
      <w:r>
        <w:rPr>
          <w:rFonts w:hint="eastAsia" w:ascii="Times New Roman" w:hAnsi="Times New Roman" w:eastAsia="宋体" w:cs="宋体"/>
          <w:b w:val="0"/>
          <w:bCs/>
          <w:color w:val="FF0000"/>
          <w:sz w:val="24"/>
          <w:szCs w:val="24"/>
          <w:highlight w:val="none"/>
          <w:lang w:val="en-US" w:eastAsia="zh-CN"/>
        </w:rPr>
        <w:t>矿区内设备及车辆委托</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FF0000"/>
          <w:sz w:val="24"/>
          <w:szCs w:val="24"/>
          <w:highlight w:val="none"/>
          <w:lang w:val="en-US" w:eastAsia="zh-CN"/>
        </w:rPr>
        <w:t>定期检修，产生的废矿物油不落地，直接由</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FF0000"/>
          <w:sz w:val="24"/>
          <w:szCs w:val="24"/>
          <w:highlight w:val="none"/>
          <w:lang w:val="en-US" w:eastAsia="zh-CN"/>
        </w:rPr>
        <w:t>拉走。</w:t>
      </w:r>
    </w:p>
    <w:p>
      <w:pPr>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480" w:firstLineChars="200"/>
        <w:textAlignment w:val="auto"/>
        <w:outlineLvl w:val="9"/>
        <w:rPr>
          <w:rFonts w:hint="eastAsia" w:ascii="Times New Roman" w:hAnsi="Times New Roman" w:eastAsia="宋体"/>
          <w:b/>
          <w:bCs w:val="0"/>
          <w:color w:val="FF0000"/>
          <w:highlight w:val="none"/>
          <w:lang w:val="en-US" w:eastAsia="zh-CN"/>
        </w:rPr>
      </w:pPr>
      <w:r>
        <w:rPr>
          <w:rFonts w:hint="eastAsia" w:ascii="Times New Roman" w:hAnsi="Times New Roman" w:eastAsia="宋体" w:cs="宋体"/>
          <w:b w:val="0"/>
          <w:bCs/>
          <w:color w:val="FF0000"/>
          <w:sz w:val="24"/>
          <w:szCs w:val="24"/>
          <w:highlight w:val="none"/>
          <w:lang w:eastAsia="zh-CN"/>
        </w:rPr>
        <w:t>采取上述措施后，本项目固废均得到妥善处置，对土壤环境影响较小。</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8</w:t>
      </w:r>
      <w:r>
        <w:rPr>
          <w:rFonts w:hint="eastAsia" w:ascii="Times New Roman" w:hAnsi="Times New Roman" w:eastAsia="宋体"/>
          <w:b/>
          <w:bCs w:val="0"/>
          <w:color w:val="auto"/>
          <w:highlight w:val="none"/>
          <w:lang w:val="en-US" w:eastAsia="zh-CN"/>
        </w:rPr>
        <w:t xml:space="preserve"> 运输道路沿线影响分析</w:t>
      </w:r>
      <w:bookmarkEnd w:id="23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43" w:name="4.2.8.1运输路线方案"/>
      <w:bookmarkEnd w:id="243"/>
      <w:bookmarkStart w:id="244" w:name="_Toc143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8</w:t>
      </w:r>
      <w:r>
        <w:rPr>
          <w:rFonts w:hint="eastAsia" w:ascii="Times New Roman" w:hAnsi="Times New Roman" w:eastAsia="宋体"/>
          <w:b/>
          <w:bCs w:val="0"/>
          <w:color w:val="auto"/>
          <w:highlight w:val="none"/>
          <w:lang w:val="en-US" w:eastAsia="zh-CN"/>
        </w:rPr>
        <w:t>.1 运输路线方案</w:t>
      </w:r>
      <w:bookmarkEnd w:id="24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本矿山</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年运输量为</w:t>
      </w:r>
      <w:r>
        <w:rPr>
          <w:rFonts w:hint="eastAsia" w:eastAsia="宋体" w:cs="宋体"/>
          <w:b w:val="0"/>
          <w:bCs/>
          <w:color w:val="auto"/>
          <w:sz w:val="24"/>
          <w:szCs w:val="24"/>
          <w:highlight w:val="none"/>
          <w:lang w:val="en-US" w:eastAsia="zh-CN"/>
        </w:rPr>
        <w:t>7.68</w:t>
      </w:r>
      <w:r>
        <w:rPr>
          <w:rFonts w:hint="eastAsia" w:ascii="Times New Roman" w:hAnsi="Times New Roman" w:eastAsia="宋体" w:cs="宋体"/>
          <w:b w:val="0"/>
          <w:bCs/>
          <w:color w:val="auto"/>
          <w:sz w:val="24"/>
          <w:szCs w:val="24"/>
          <w:highlight w:val="none"/>
          <w:lang w:eastAsia="zh-CN"/>
        </w:rPr>
        <w:t>万t，矿区内部运输道路总长度为</w:t>
      </w:r>
      <w:r>
        <w:rPr>
          <w:rFonts w:hint="eastAsia" w:eastAsia="宋体" w:cs="宋体"/>
          <w:b w:val="0"/>
          <w:bCs/>
          <w:color w:val="auto"/>
          <w:sz w:val="24"/>
          <w:szCs w:val="24"/>
          <w:highlight w:val="none"/>
          <w:lang w:val="en-US" w:eastAsia="zh-CN"/>
        </w:rPr>
        <w:t>0.15</w:t>
      </w:r>
      <w:r>
        <w:rPr>
          <w:rFonts w:hint="eastAsia" w:ascii="Times New Roman" w:hAnsi="Times New Roman" w:eastAsia="宋体" w:cs="宋体"/>
          <w:b w:val="0"/>
          <w:bCs/>
          <w:color w:val="auto"/>
          <w:sz w:val="24"/>
          <w:szCs w:val="24"/>
          <w:highlight w:val="none"/>
          <w:lang w:eastAsia="zh-CN"/>
        </w:rPr>
        <w:t>km，外部运输道路</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km，全部用</w:t>
      </w:r>
      <w:r>
        <w:rPr>
          <w:rFonts w:hint="eastAsia" w:ascii="Times New Roman" w:hAnsi="Times New Roman" w:eastAsia="宋体" w:cs="宋体"/>
          <w:b w:val="0"/>
          <w:bCs/>
          <w:color w:val="auto"/>
          <w:sz w:val="24"/>
          <w:szCs w:val="24"/>
          <w:highlight w:val="none"/>
          <w:lang w:val="en-US" w:eastAsia="zh-CN"/>
        </w:rPr>
        <w:t>砂石</w:t>
      </w:r>
      <w:r>
        <w:rPr>
          <w:rFonts w:hint="eastAsia" w:ascii="Times New Roman" w:hAnsi="Times New Roman" w:eastAsia="宋体" w:cs="宋体"/>
          <w:b w:val="0"/>
          <w:bCs/>
          <w:color w:val="auto"/>
          <w:sz w:val="24"/>
          <w:szCs w:val="24"/>
          <w:highlight w:val="none"/>
          <w:lang w:eastAsia="zh-CN"/>
        </w:rPr>
        <w:t>路面，路面宽度4m。矿山拟采用40t重型自卸运输车辆，沿途运输路线较近，对周边环境敏感目标产生影响较小。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45" w:name="4.2.8.2运输路线沿途影响分析"/>
      <w:bookmarkEnd w:id="245"/>
      <w:bookmarkStart w:id="246" w:name="_Toc9552"/>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8</w:t>
      </w:r>
      <w:r>
        <w:rPr>
          <w:rFonts w:hint="eastAsia" w:ascii="Times New Roman" w:hAnsi="Times New Roman" w:eastAsia="宋体"/>
          <w:b/>
          <w:bCs w:val="0"/>
          <w:color w:val="auto"/>
          <w:highlight w:val="none"/>
          <w:lang w:val="en-US" w:eastAsia="zh-CN"/>
        </w:rPr>
        <w:t>.2 运输路线沿途影响分析</w:t>
      </w:r>
      <w:bookmarkEnd w:id="24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 xml:space="preserve">）废气影响分析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根据工程分析可知，</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运输过程中会产生运输扬尘，对沿途敏感点产生一定的影响。采用加强运输车的保养、定期清洗、确保运输车封闭良好等措施后可有效建设运输扬尘对周围大气环境的影响。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）噪声影响分析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本项目运输距离较近，产生的噪声强度较小，并且每天运输</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频率很低，运输全部为白天，综上所述，本项目外运车辆所产生的噪声对周围环境影响很小，不会发生扰民现象。</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47" w:name="_bookmark84"/>
      <w:bookmarkEnd w:id="247"/>
      <w:bookmarkStart w:id="248" w:name="4.3闭矿后环境影响分析"/>
      <w:bookmarkEnd w:id="248"/>
      <w:bookmarkStart w:id="249" w:name="_Toc1109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 xml:space="preserve"> 闭矿后环境影响分析</w:t>
      </w:r>
      <w:bookmarkEnd w:id="249"/>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0" w:name="4.3.1生态环境影响分析"/>
      <w:bookmarkEnd w:id="250"/>
      <w:bookmarkStart w:id="251" w:name="_bookmark85"/>
      <w:bookmarkEnd w:id="251"/>
      <w:bookmarkStart w:id="252" w:name="_Toc6574"/>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.1 生态环境影响分析</w:t>
      </w:r>
      <w:bookmarkEnd w:id="25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矿山</w:t>
      </w:r>
      <w:r>
        <w:rPr>
          <w:rFonts w:hint="eastAsia" w:ascii="Times New Roman" w:hAnsi="Times New Roman" w:eastAsia="宋体" w:cs="宋体"/>
          <w:b w:val="0"/>
          <w:bCs/>
          <w:color w:val="auto"/>
          <w:sz w:val="24"/>
          <w:szCs w:val="24"/>
          <w:highlight w:val="none"/>
          <w:lang w:val="en-US" w:eastAsia="zh-CN"/>
        </w:rPr>
        <w:t>服务年限为</w:t>
      </w:r>
      <w:r>
        <w:rPr>
          <w:rFonts w:hint="eastAsia" w:eastAsia="宋体" w:cs="宋体"/>
          <w:b w:val="0"/>
          <w:bCs/>
          <w:color w:val="auto"/>
          <w:sz w:val="24"/>
          <w:szCs w:val="24"/>
          <w:highlight w:val="none"/>
          <w:lang w:val="en-US" w:eastAsia="zh-CN"/>
        </w:rPr>
        <w:t>6.2</w:t>
      </w:r>
      <w:r>
        <w:rPr>
          <w:rFonts w:hint="eastAsia" w:ascii="Times New Roman" w:hAnsi="Times New Roman" w:eastAsia="宋体" w:cs="宋体"/>
          <w:b w:val="0"/>
          <w:bCs/>
          <w:color w:val="auto"/>
          <w:sz w:val="24"/>
          <w:szCs w:val="24"/>
          <w:highlight w:val="none"/>
          <w:lang w:val="en-US" w:eastAsia="zh-CN"/>
        </w:rPr>
        <w:t>年</w:t>
      </w:r>
      <w:r>
        <w:rPr>
          <w:rFonts w:hint="eastAsia" w:ascii="Times New Roman" w:hAnsi="Times New Roman" w:eastAsia="宋体" w:cs="宋体"/>
          <w:b w:val="0"/>
          <w:bCs/>
          <w:color w:val="auto"/>
          <w:sz w:val="24"/>
          <w:szCs w:val="24"/>
          <w:highlight w:val="none"/>
          <w:lang w:eastAsia="zh-CN"/>
        </w:rPr>
        <w:t>，在矿山运营期间，建设单位需要按照水保和环评的要求，对各工程区域采取工程措施及植物措施，对项目实施所造成的生态破坏进行部分恢复，使水土流失得到了有效控制，各产尘点的产尘量及影响大大降低。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服务期满后，对工业场地的建筑及设备拆除，构建筑物拆除清理，对工业场地、</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w:t>
      </w:r>
      <w:r>
        <w:rPr>
          <w:rFonts w:hint="eastAsia" w:eastAsia="宋体" w:cs="宋体"/>
          <w:b w:val="0"/>
          <w:bCs/>
          <w:color w:val="auto"/>
          <w:sz w:val="24"/>
          <w:szCs w:val="24"/>
          <w:highlight w:val="none"/>
          <w:lang w:val="en-US" w:eastAsia="zh-CN"/>
        </w:rPr>
        <w:t>采场</w:t>
      </w:r>
      <w:r>
        <w:rPr>
          <w:rFonts w:hint="eastAsia" w:ascii="Times New Roman" w:hAnsi="Times New Roman" w:eastAsia="宋体" w:cs="宋体"/>
          <w:b w:val="0"/>
          <w:bCs/>
          <w:color w:val="auto"/>
          <w:sz w:val="24"/>
          <w:szCs w:val="24"/>
          <w:highlight w:val="none"/>
          <w:lang w:eastAsia="zh-CN"/>
        </w:rPr>
        <w:t>及办公生活区等工程占地区域覆土恢复植被，一是恢复植被时需要土壤，取土会带来新的生态问题，可能引发新的水土流失，形成新的扬尘污染源。因此在恢复植被时，必须严格按照有关部门的设计要求进行取土，减少生态破坏；二是项目各场地的破坏面积，服役期满后由于地表裸露面的植被尚未完全恢复，会产生一定的水土流失。需要采取水土保持措施，使其影响范围和程度控制到最低。并聘请有资质部门编制土地复垦方案，按照该方案及环评要求取土覆土后，生态环境能够进一步改善。所以闭矿后按要求实施了上述措施后，环境影响很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3" w:name="_bookmark86"/>
      <w:bookmarkEnd w:id="253"/>
      <w:bookmarkStart w:id="254" w:name="4.3.2大气环境影响分析"/>
      <w:bookmarkEnd w:id="254"/>
      <w:bookmarkStart w:id="255" w:name="_Toc3214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.2 大气环境影响分析</w:t>
      </w:r>
      <w:bookmarkEnd w:id="25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项目闭矿后，本项目不再产生大气污染物，对周边大气环境无影响。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6" w:name="_bookmark87"/>
      <w:bookmarkEnd w:id="256"/>
      <w:bookmarkStart w:id="257" w:name="4.3.3水环境影响分析"/>
      <w:bookmarkEnd w:id="257"/>
      <w:bookmarkStart w:id="258" w:name="_Toc29870"/>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.3 水环境影响分析</w:t>
      </w:r>
      <w:bookmarkEnd w:id="25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项目闭矿后，不再产生废水，对地下水不会产生影响。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9" w:name="_bookmark88"/>
      <w:bookmarkEnd w:id="259"/>
      <w:bookmarkStart w:id="260" w:name="4.3.4固废影响分析"/>
      <w:bookmarkEnd w:id="260"/>
      <w:bookmarkStart w:id="261" w:name="_Toc22718"/>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.4 固废影响分析</w:t>
      </w:r>
      <w:bookmarkEnd w:id="26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项目闭矿后，不再产生采矿废石、生活垃圾、矿井涌水沉淀污泥等固废。</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62" w:name="_bookmark89"/>
      <w:bookmarkEnd w:id="262"/>
      <w:bookmarkStart w:id="263" w:name="4.3.5声环境影响分析"/>
      <w:bookmarkEnd w:id="263"/>
      <w:bookmarkStart w:id="264" w:name="_Toc31539"/>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.5 声环境影响分析</w:t>
      </w:r>
      <w:bookmarkEnd w:id="26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闭矿后所有机械设备均停止使用，无运输进出，对周边声环境不再产生影响。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65" w:name="_bookmark90"/>
      <w:bookmarkEnd w:id="265"/>
      <w:bookmarkStart w:id="266" w:name="4.3.7小结"/>
      <w:bookmarkEnd w:id="266"/>
      <w:bookmarkStart w:id="267" w:name="_Toc2638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.6 小结</w:t>
      </w:r>
      <w:bookmarkEnd w:id="26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w:t>
      </w:r>
      <w:r>
        <w:rPr>
          <w:rFonts w:hint="eastAsia" w:ascii="Times New Roman" w:hAnsi="Times New Roman" w:eastAsia="宋体" w:cs="宋体"/>
          <w:b w:val="0"/>
          <w:bCs/>
          <w:color w:val="auto"/>
          <w:sz w:val="24"/>
          <w:szCs w:val="24"/>
          <w:highlight w:val="none"/>
          <w:lang w:val="en-US" w:eastAsia="zh-CN"/>
        </w:rPr>
        <w:t>矿体服务年限为</w:t>
      </w:r>
      <w:r>
        <w:rPr>
          <w:rFonts w:hint="eastAsia" w:eastAsia="宋体" w:cs="宋体"/>
          <w:b w:val="0"/>
          <w:bCs/>
          <w:color w:val="auto"/>
          <w:sz w:val="24"/>
          <w:szCs w:val="24"/>
          <w:highlight w:val="none"/>
          <w:lang w:val="en-US" w:eastAsia="zh-CN"/>
        </w:rPr>
        <w:t>6.2</w:t>
      </w:r>
      <w:r>
        <w:rPr>
          <w:rFonts w:hint="eastAsia" w:ascii="Times New Roman" w:hAnsi="Times New Roman" w:eastAsia="宋体" w:cs="宋体"/>
          <w:b w:val="0"/>
          <w:bCs/>
          <w:color w:val="auto"/>
          <w:sz w:val="24"/>
          <w:szCs w:val="24"/>
          <w:highlight w:val="none"/>
          <w:lang w:val="en-US" w:eastAsia="zh-CN"/>
        </w:rPr>
        <w:t>年，</w:t>
      </w:r>
      <w:r>
        <w:rPr>
          <w:rFonts w:hint="eastAsia" w:ascii="Times New Roman" w:hAnsi="Times New Roman" w:eastAsia="宋体" w:cs="宋体"/>
          <w:b w:val="0"/>
          <w:bCs/>
          <w:color w:val="auto"/>
          <w:sz w:val="24"/>
          <w:szCs w:val="24"/>
          <w:highlight w:val="none"/>
          <w:lang w:eastAsia="zh-CN"/>
        </w:rPr>
        <w:t>在项目运营期间，建设单位需要按照环评的要求，对各工程区域采取了工程措施及植物措施，对施工期所造成的生态破坏进行恢复，水土流失得到了有效控制，各产尘点的产尘量及影响大大降低。矿山服务期满停止运营后，随着企业的生产、生活活动的终止，依据该项目土地复垦方案，对采矿区、工业场地等工程区域进行种草，改善矿区自然环境，对原有破坏进行补偿，恢复项目区植被及自然景观。闭矿并采取以上各项措施后，项目区的生态环境将得到逐步改善和恢复。</w:t>
      </w:r>
    </w:p>
    <w:p>
      <w:pPr>
        <w:ind w:left="0" w:leftChars="0" w:firstLine="480" w:firstLineChars="200"/>
        <w:rPr>
          <w:rFonts w:hint="eastAsia" w:ascii="Times New Roman" w:hAnsi="Times New Roman" w:eastAsia="宋体" w:cs="宋体"/>
          <w:b w:val="0"/>
          <w:bCs/>
          <w:color w:val="auto"/>
          <w:sz w:val="24"/>
          <w:szCs w:val="24"/>
          <w:highlight w:val="none"/>
          <w:lang w:eastAsia="zh-CN"/>
        </w:rPr>
      </w:pPr>
    </w:p>
    <w:p>
      <w:pPr>
        <w:rPr>
          <w:rFonts w:hint="eastAsia" w:ascii="Times New Roman" w:hAnsi="Times New Roman" w:eastAsia="宋体" w:cs="宋体"/>
          <w:b w:val="0"/>
          <w:bCs/>
          <w:color w:val="auto"/>
          <w:sz w:val="24"/>
          <w:szCs w:val="24"/>
          <w:highlight w:val="yellow"/>
          <w:lang w:eastAsia="zh-CN"/>
        </w:rPr>
      </w:pPr>
      <w:r>
        <w:rPr>
          <w:rFonts w:hint="eastAsia" w:ascii="Times New Roman" w:hAnsi="Times New Roman" w:eastAsia="宋体" w:cs="宋体"/>
          <w:b w:val="0"/>
          <w:bCs/>
          <w:color w:val="auto"/>
          <w:sz w:val="24"/>
          <w:szCs w:val="24"/>
          <w:highlight w:val="yellow"/>
          <w:lang w:eastAsia="zh-CN"/>
        </w:rPr>
        <w:br w:type="page"/>
      </w: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eastAsia="宋体"/>
          <w:b/>
          <w:bCs w:val="0"/>
          <w:color w:val="auto"/>
          <w:sz w:val="36"/>
          <w:szCs w:val="36"/>
          <w:highlight w:val="none"/>
          <w:lang w:eastAsia="zh-CN"/>
        </w:rPr>
      </w:pPr>
      <w:bookmarkStart w:id="268" w:name="_Toc11305"/>
      <w:r>
        <w:rPr>
          <w:rFonts w:hint="eastAsia" w:ascii="Times New Roman" w:hAnsi="Times New Roman" w:eastAsia="宋体"/>
          <w:b/>
          <w:bCs w:val="0"/>
          <w:color w:val="auto"/>
          <w:sz w:val="36"/>
          <w:szCs w:val="36"/>
          <w:highlight w:val="none"/>
          <w:lang w:val="en-US" w:eastAsia="zh-CN"/>
        </w:rPr>
        <w:t>6</w:t>
      </w:r>
      <w:r>
        <w:rPr>
          <w:rFonts w:hint="eastAsia" w:ascii="Times New Roman" w:hAnsi="Times New Roman" w:eastAsia="宋体"/>
          <w:b/>
          <w:bCs w:val="0"/>
          <w:color w:val="auto"/>
          <w:sz w:val="36"/>
          <w:szCs w:val="36"/>
          <w:highlight w:val="none"/>
          <w:lang w:eastAsia="zh-CN"/>
        </w:rPr>
        <w:tab/>
      </w:r>
      <w:r>
        <w:rPr>
          <w:rFonts w:hint="eastAsia" w:ascii="Times New Roman" w:hAnsi="Times New Roman" w:eastAsia="宋体"/>
          <w:b/>
          <w:bCs w:val="0"/>
          <w:color w:val="auto"/>
          <w:sz w:val="36"/>
          <w:szCs w:val="36"/>
          <w:highlight w:val="none"/>
          <w:lang w:eastAsia="zh-CN"/>
        </w:rPr>
        <w:t>环境风险分析</w:t>
      </w:r>
      <w:bookmarkEnd w:id="26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本项目的特点，通过调查及资料调查的方法，对建设项目环境风险进行详细分析，了解建设项目存在的风险及发生风险事故后所产生的事故后果，并提出相应的措施和计划以避免风险或减少风险发生后的事故损失。根据</w:t>
      </w:r>
      <w:r>
        <w:rPr>
          <w:rFonts w:hint="eastAsia" w:ascii="Times New Roman" w:hAnsi="Times New Roman" w:eastAsia="宋体" w:cs="宋体"/>
          <w:b w:val="0"/>
          <w:bCs/>
          <w:color w:val="auto"/>
          <w:sz w:val="24"/>
          <w:szCs w:val="24"/>
          <w:highlight w:val="none"/>
          <w:lang w:val="en-US" w:eastAsia="zh-CN"/>
        </w:rPr>
        <w:t>原</w:t>
      </w:r>
      <w:r>
        <w:rPr>
          <w:rFonts w:hint="eastAsia" w:ascii="Times New Roman" w:hAnsi="Times New Roman" w:eastAsia="宋体" w:cs="宋体"/>
          <w:b w:val="0"/>
          <w:bCs/>
          <w:color w:val="auto"/>
          <w:sz w:val="24"/>
          <w:szCs w:val="24"/>
          <w:highlight w:val="none"/>
          <w:lang w:eastAsia="zh-CN"/>
        </w:rPr>
        <w:t>国家环境保护总局环发[2012]77 号文《关于进一步加强环境影响评价管理防范环境风险的通知》、《金属非金属矿山重大危险源辨识》及《建设项目环境风险评价技术导则》（HJ169-2018）的规定和要求及本项目特点，本次评价主要针对风险识别、风险分析等方法对项目进行环境风险评价，了解其环境风险的可接受程度，提出减少风险的对策、事故应急措施，为工程设计和环境管理提供资料和依据，以期达到降低危险、减少公害的目的。</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69" w:name="_bookmark92"/>
      <w:bookmarkEnd w:id="269"/>
      <w:bookmarkStart w:id="270" w:name="5.1评价依据"/>
      <w:bookmarkEnd w:id="270"/>
      <w:bookmarkStart w:id="271" w:name="_Toc31603"/>
      <w:r>
        <w:rPr>
          <w:rFonts w:hint="eastAsia" w:ascii="Times New Roman" w:hAnsi="Times New Roman" w:eastAsia="宋体"/>
          <w:b/>
          <w:bCs w:val="0"/>
          <w:color w:val="auto"/>
          <w:highlight w:val="none"/>
          <w:lang w:val="en-US" w:eastAsia="zh-CN"/>
        </w:rPr>
        <w:t>6.1 评价依据</w:t>
      </w:r>
      <w:bookmarkEnd w:id="271"/>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272" w:name="5.1.1风险调查"/>
      <w:bookmarkEnd w:id="272"/>
      <w:bookmarkStart w:id="273" w:name="_bookmark93"/>
      <w:bookmarkEnd w:id="273"/>
      <w:bookmarkStart w:id="274" w:name="_Toc18400"/>
      <w:r>
        <w:rPr>
          <w:rFonts w:hint="eastAsia" w:ascii="Times New Roman" w:hAnsi="Times New Roman" w:eastAsia="宋体"/>
          <w:b/>
          <w:bCs w:val="0"/>
          <w:color w:val="auto"/>
          <w:highlight w:val="none"/>
          <w:lang w:val="en-US" w:eastAsia="zh-CN"/>
        </w:rPr>
        <w:t>6.1.1 风险调查</w:t>
      </w:r>
      <w:bookmarkEnd w:id="274"/>
      <w:r>
        <w:rPr>
          <w:rFonts w:hint="eastAsia"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75" w:name="5.1.1.1建设项目风险源调查"/>
      <w:bookmarkEnd w:id="275"/>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.1.1.1 建设项目风险源调查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（1）项目涉及环境风险场地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本项环境风险场地包括：</w:t>
      </w:r>
      <w:r>
        <w:rPr>
          <w:rFonts w:hint="eastAsia" w:eastAsia="宋体" w:cs="宋体"/>
          <w:b w:val="0"/>
          <w:bCs/>
          <w:color w:val="auto"/>
          <w:sz w:val="24"/>
          <w:szCs w:val="24"/>
          <w:highlight w:val="none"/>
          <w:lang w:val="en-US" w:eastAsia="zh-CN"/>
        </w:rPr>
        <w:t>采砂场</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（2）项目涉及的风险物质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本项目矿区内不存放柴油，</w:t>
      </w: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矿区将车辆与设备维修保养全部委托给苏尼特右旗朱日和雷鸣装载机配件修理厂，产生的废机油不落地，直接归苏尼特右旗朱日和雷鸣装载机配件修理厂所有，由修理厂进行处理处置，本项目</w:t>
      </w:r>
      <w:r>
        <w:rPr>
          <w:rFonts w:hint="eastAsia" w:eastAsia="宋体" w:cs="宋体"/>
          <w:b w:val="0"/>
          <w:bCs/>
          <w:color w:val="auto"/>
          <w:sz w:val="24"/>
          <w:szCs w:val="24"/>
          <w:highlight w:val="none"/>
          <w:lang w:val="en-US" w:eastAsia="zh-CN"/>
        </w:rPr>
        <w:t>不涉及</w:t>
      </w:r>
      <w:r>
        <w:rPr>
          <w:rFonts w:hint="eastAsia" w:ascii="Times New Roman" w:hAnsi="Times New Roman" w:eastAsia="宋体" w:cs="宋体"/>
          <w:b w:val="0"/>
          <w:bCs/>
          <w:color w:val="auto"/>
          <w:sz w:val="24"/>
          <w:szCs w:val="24"/>
          <w:highlight w:val="none"/>
          <w:lang w:eastAsia="zh-CN"/>
        </w:rPr>
        <w:t>《建设项目环境风险评价技术导则》（HJ169-2018）</w:t>
      </w:r>
      <w:r>
        <w:rPr>
          <w:rFonts w:hint="eastAsia" w:eastAsia="宋体" w:cs="宋体"/>
          <w:b w:val="0"/>
          <w:bCs/>
          <w:color w:val="auto"/>
          <w:sz w:val="24"/>
          <w:szCs w:val="24"/>
          <w:highlight w:val="none"/>
          <w:lang w:val="en-US" w:eastAsia="zh-CN"/>
        </w:rPr>
        <w:t>附录B所关注的风险物质</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76" w:name="_bookmark94"/>
      <w:bookmarkEnd w:id="276"/>
      <w:bookmarkStart w:id="277" w:name="5.1.2环境风险潜势初判"/>
      <w:bookmarkEnd w:id="277"/>
      <w:bookmarkStart w:id="278" w:name="_Toc12779"/>
      <w:r>
        <w:rPr>
          <w:rFonts w:hint="eastAsia" w:ascii="Times New Roman" w:hAnsi="Times New Roman" w:eastAsia="宋体"/>
          <w:b/>
          <w:bCs w:val="0"/>
          <w:color w:val="auto"/>
          <w:highlight w:val="none"/>
          <w:lang w:val="en-US" w:eastAsia="zh-CN"/>
        </w:rPr>
        <w:t>6.1.2 环境风险潜势初判</w:t>
      </w:r>
      <w:bookmarkEnd w:id="278"/>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eastAsia="zh-CN"/>
        </w:rPr>
      </w:pPr>
      <w:bookmarkStart w:id="279" w:name="5.1.2.1环境风险潜势划分"/>
      <w:bookmarkEnd w:id="279"/>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.1.2.1 环境风险潜势划分</w:t>
      </w:r>
      <w:r>
        <w:rPr>
          <w:rFonts w:hint="eastAsia" w:ascii="Times New Roman" w:hAnsi="Times New Roman" w:eastAsia="宋体" w:cs="宋体"/>
          <w:b w:val="0"/>
          <w:bCs/>
          <w:color w:val="auto"/>
          <w:sz w:val="24"/>
          <w:szCs w:val="24"/>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建设项目环境风险潜势划分为Ⅰ、Ⅱ、Ⅲ、Ⅳ、Ⅳ</w:t>
      </w:r>
      <w:r>
        <w:rPr>
          <w:rFonts w:hint="eastAsia" w:ascii="Times New Roman" w:hAnsi="Times New Roman" w:eastAsia="宋体" w:cs="宋体"/>
          <w:b w:val="0"/>
          <w:bCs/>
          <w:color w:val="auto"/>
          <w:sz w:val="24"/>
          <w:szCs w:val="24"/>
          <w:highlight w:val="none"/>
          <w:vertAlign w:val="superscript"/>
          <w:lang w:eastAsia="zh-CN"/>
        </w:rPr>
        <w:t>+</w:t>
      </w:r>
      <w:r>
        <w:rPr>
          <w:rFonts w:hint="eastAsia" w:ascii="Times New Roman" w:hAnsi="Times New Roman" w:eastAsia="宋体" w:cs="宋体"/>
          <w:b w:val="0"/>
          <w:bCs/>
          <w:color w:val="auto"/>
          <w:sz w:val="24"/>
          <w:szCs w:val="24"/>
          <w:highlight w:val="none"/>
          <w:lang w:eastAsia="zh-CN"/>
        </w:rPr>
        <w:t>级。根据建设项目涉及的物质和工艺系统的危险性及其所在地的环境敏感程度，结合事故情形下环境影响途 径，对建设项目潜在环境危害程度进行划分。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 xml:space="preserve">表 </w:t>
      </w:r>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.1-3</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建设项目环境风险潜势划分</w:t>
      </w:r>
    </w:p>
    <w:tbl>
      <w:tblPr>
        <w:tblStyle w:val="35"/>
        <w:tblW w:w="0" w:type="auto"/>
        <w:tblInd w:w="215"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4"/>
        <w:gridCol w:w="1534"/>
        <w:gridCol w:w="1535"/>
        <w:gridCol w:w="1534"/>
        <w:gridCol w:w="152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exact"/>
        </w:trPr>
        <w:tc>
          <w:tcPr>
            <w:tcW w:w="21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环境敏感程度（E）</w:t>
            </w:r>
          </w:p>
        </w:tc>
        <w:tc>
          <w:tcPr>
            <w:tcW w:w="61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危险物质及工艺系统危险性（P）</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极高危害（P1）</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高度危害（P2）</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中度危害（P3）</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轻度危害（P4）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环境高度敏感区（E1）</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Ⅳ</w:t>
            </w:r>
            <w:r>
              <w:rPr>
                <w:rFonts w:hint="eastAsia" w:ascii="Times New Roman" w:hAnsi="Times New Roman" w:eastAsia="宋体" w:cs="宋体"/>
                <w:b w:val="0"/>
                <w:bCs/>
                <w:color w:val="auto"/>
                <w:sz w:val="21"/>
                <w:szCs w:val="21"/>
                <w:highlight w:val="none"/>
                <w:vertAlign w:val="superscript"/>
                <w:lang w:eastAsia="zh-CN"/>
              </w:rPr>
              <w:t>+</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Ⅳ</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2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环境中度敏感区（E1）</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Ⅳ</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Ⅱ</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环境低度敏感区（E1）</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Ⅱ</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830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注：Ⅳ</w:t>
            </w:r>
            <w:r>
              <w:rPr>
                <w:rFonts w:hint="eastAsia" w:ascii="Times New Roman" w:hAnsi="Times New Roman" w:eastAsia="宋体" w:cs="宋体"/>
                <w:b w:val="0"/>
                <w:bCs/>
                <w:color w:val="auto"/>
                <w:sz w:val="21"/>
                <w:szCs w:val="21"/>
                <w:highlight w:val="none"/>
                <w:vertAlign w:val="superscript"/>
                <w:lang w:eastAsia="zh-CN"/>
              </w:rPr>
              <w:t>+</w:t>
            </w:r>
            <w:r>
              <w:rPr>
                <w:rFonts w:hint="eastAsia" w:ascii="Times New Roman" w:hAnsi="Times New Roman" w:eastAsia="宋体" w:cs="宋体"/>
                <w:b w:val="0"/>
                <w:bCs/>
                <w:color w:val="auto"/>
                <w:sz w:val="21"/>
                <w:szCs w:val="21"/>
                <w:highlight w:val="none"/>
                <w:lang w:eastAsia="zh-CN"/>
              </w:rPr>
              <w:t>为极高环境风险</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80" w:name="5.1.2.2P的分级确定"/>
      <w:bookmarkEnd w:id="280"/>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.1.2.2</w:t>
      </w:r>
      <w:r>
        <w:rPr>
          <w:rFonts w:hint="eastAsia" w:ascii="Times New Roman" w:hAnsi="Times New Roman" w:eastAsia="宋体" w:cs="宋体"/>
          <w:b/>
          <w:bCs w:val="0"/>
          <w:color w:val="auto"/>
          <w:sz w:val="24"/>
          <w:szCs w:val="24"/>
          <w:highlight w:val="none"/>
          <w:lang w:val="en-US" w:eastAsia="zh-CN"/>
        </w:rPr>
        <w:t xml:space="preserve"> </w:t>
      </w:r>
      <w:r>
        <w:rPr>
          <w:rFonts w:hint="eastAsia" w:ascii="Times New Roman" w:hAnsi="Times New Roman" w:eastAsia="宋体" w:cs="宋体"/>
          <w:b/>
          <w:bCs w:val="0"/>
          <w:color w:val="auto"/>
          <w:sz w:val="24"/>
          <w:szCs w:val="24"/>
          <w:highlight w:val="none"/>
          <w:lang w:eastAsia="zh-CN"/>
        </w:rPr>
        <w:t xml:space="preserve">P 的分级确定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计算所涉及环境风险物质数量和其临界比值（Q）</w:t>
      </w:r>
      <w:r>
        <w:rPr>
          <w:rFonts w:hint="eastAsia"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eastAsia="zh-CN"/>
        </w:rPr>
        <w:t>根据《建设项目环境风险评价技术导则》（HJ169-2018），Q 值为物质总数量与其临界量比值，按下式计算。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drawing>
          <wp:inline distT="0" distB="0" distL="0" distR="0">
            <wp:extent cx="1490345" cy="509905"/>
            <wp:effectExtent l="0" t="0" r="14605" b="4445"/>
            <wp:docPr id="4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3.jpeg"/>
                    <pic:cNvPicPr>
                      <a:picLocks noChangeAspect="1"/>
                    </pic:cNvPicPr>
                  </pic:nvPicPr>
                  <pic:blipFill>
                    <a:blip r:embed="rId70" cstate="print"/>
                    <a:stretch>
                      <a:fillRect/>
                    </a:stretch>
                  </pic:blipFill>
                  <pic:spPr>
                    <a:xfrm>
                      <a:off x="0" y="0"/>
                      <a:ext cx="1490722" cy="51006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式中：q</w:t>
      </w:r>
      <w:r>
        <w:rPr>
          <w:rFonts w:hint="eastAsia" w:ascii="Times New Roman" w:hAnsi="Times New Roman" w:eastAsia="宋体" w:cs="宋体"/>
          <w:b w:val="0"/>
          <w:bCs/>
          <w:color w:val="auto"/>
          <w:sz w:val="24"/>
          <w:szCs w:val="24"/>
          <w:highlight w:val="none"/>
          <w:vertAlign w:val="subscript"/>
          <w:lang w:val="en-US" w:eastAsia="zh-CN"/>
        </w:rPr>
        <w:t>1</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2</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n</w:t>
      </w:r>
      <w:r>
        <w:rPr>
          <w:rFonts w:hint="eastAsia" w:ascii="Times New Roman" w:hAnsi="Times New Roman" w:eastAsia="宋体" w:cs="宋体"/>
          <w:b w:val="0"/>
          <w:bCs/>
          <w:color w:val="auto"/>
          <w:sz w:val="24"/>
          <w:szCs w:val="24"/>
          <w:highlight w:val="none"/>
          <w:lang w:eastAsia="zh-CN"/>
        </w:rPr>
        <w:t>---每种环境风险物质的最大存在总量，t。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1</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2</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n</w:t>
      </w:r>
      <w:r>
        <w:rPr>
          <w:rFonts w:hint="eastAsia" w:ascii="Times New Roman" w:hAnsi="Times New Roman" w:eastAsia="宋体" w:cs="宋体"/>
          <w:b w:val="0"/>
          <w:bCs/>
          <w:color w:val="auto"/>
          <w:sz w:val="24"/>
          <w:szCs w:val="24"/>
          <w:highlight w:val="none"/>
          <w:lang w:eastAsia="zh-CN"/>
        </w:rPr>
        <w:t>---每种环境风险物质相对应的临界量，t。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计算出Q值后，当Q＜1 时，该项目环境风险潜势为Ⅰ。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当Q≥1时，将Q值划分为：1≤Q＜10，10≤Q＜100，Q≥100。根据《建设项目环境风险评价技术导则》（HJ169-2018）附录 </w:t>
      </w:r>
      <w:r>
        <w:rPr>
          <w:rFonts w:hint="eastAsia" w:eastAsia="宋体" w:cs="宋体"/>
          <w:b w:val="0"/>
          <w:bCs/>
          <w:color w:val="auto"/>
          <w:sz w:val="24"/>
          <w:szCs w:val="24"/>
          <w:highlight w:val="none"/>
          <w:lang w:val="en-US" w:eastAsia="zh-CN"/>
        </w:rPr>
        <w:t>B</w:t>
      </w:r>
      <w:r>
        <w:rPr>
          <w:rFonts w:hint="eastAsia" w:ascii="Times New Roman" w:hAnsi="Times New Roman" w:eastAsia="宋体" w:cs="宋体"/>
          <w:b w:val="0"/>
          <w:bCs/>
          <w:color w:val="auto"/>
          <w:sz w:val="24"/>
          <w:szCs w:val="24"/>
          <w:highlight w:val="none"/>
          <w:lang w:eastAsia="zh-CN"/>
        </w:rPr>
        <w:t xml:space="preserve"> </w:t>
      </w:r>
      <w:r>
        <w:rPr>
          <w:rFonts w:hint="eastAsia"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本项目不涉及附录中的危险物质，</w:t>
      </w:r>
      <w:r>
        <w:rPr>
          <w:rFonts w:hint="eastAsia" w:ascii="Times New Roman" w:hAnsi="Times New Roman" w:eastAsia="宋体" w:cs="宋体"/>
          <w:b w:val="0"/>
          <w:bCs/>
          <w:color w:val="auto"/>
          <w:sz w:val="24"/>
          <w:szCs w:val="24"/>
          <w:highlight w:val="none"/>
          <w:lang w:eastAsia="zh-CN"/>
        </w:rPr>
        <w:t>本项目主要风险物质与临界量比值Q&lt;1，则项目环境风险潜势为Ⅰ。</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281" w:name="_bookmark95"/>
      <w:bookmarkEnd w:id="281"/>
      <w:bookmarkStart w:id="282" w:name="5.1.3评价等级"/>
      <w:bookmarkEnd w:id="282"/>
      <w:bookmarkStart w:id="283" w:name="_Toc19266"/>
      <w:r>
        <w:rPr>
          <w:rFonts w:hint="eastAsia" w:ascii="Times New Roman" w:hAnsi="Times New Roman" w:eastAsia="宋体"/>
          <w:b/>
          <w:bCs w:val="0"/>
          <w:color w:val="auto"/>
          <w:highlight w:val="none"/>
          <w:lang w:val="en-US" w:eastAsia="zh-CN"/>
        </w:rPr>
        <w:t>6.1.3 评价等级</w:t>
      </w:r>
      <w:bookmarkEnd w:id="28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根据《建设项目环境风险评价技术导则》（HJ169-2018），项目风险潜势为Ⅰ，可开展简单分析。</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84" w:name="_bookmark97"/>
      <w:bookmarkEnd w:id="284"/>
      <w:bookmarkStart w:id="285" w:name="_bookmark96"/>
      <w:bookmarkEnd w:id="285"/>
      <w:bookmarkStart w:id="286" w:name="5.2环境敏感目标概况"/>
      <w:bookmarkEnd w:id="286"/>
      <w:bookmarkStart w:id="287" w:name="5.3风险识别"/>
      <w:bookmarkEnd w:id="287"/>
      <w:bookmarkStart w:id="288" w:name="_Toc2675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 xml:space="preserve"> 风险识别</w:t>
      </w:r>
      <w:bookmarkEnd w:id="28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289" w:name="5.3.1环境风险识别内容"/>
      <w:bookmarkEnd w:id="289"/>
      <w:bookmarkStart w:id="290" w:name="_bookmark98"/>
      <w:bookmarkEnd w:id="290"/>
      <w:bookmarkStart w:id="291" w:name="_Toc17874"/>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.1 环境风险识别内容</w:t>
      </w:r>
      <w:bookmarkEnd w:id="29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项目风险识别的范围包括物质危险性识别、生产系统危险性识别和危险物质向环境转移的途径识别。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eastAsia="zh-CN"/>
        </w:rPr>
      </w:pPr>
      <w:bookmarkStart w:id="292" w:name="5.3.1.1物质风险识别"/>
      <w:bookmarkEnd w:id="292"/>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eastAsia="zh-CN"/>
        </w:rPr>
        <w:t>.1.1 物质风险识别</w:t>
      </w:r>
      <w:r>
        <w:rPr>
          <w:rFonts w:hint="eastAsia" w:ascii="Times New Roman" w:hAnsi="Times New Roman" w:eastAsia="宋体" w:cs="宋体"/>
          <w:b w:val="0"/>
          <w:bCs/>
          <w:color w:val="auto"/>
          <w:sz w:val="24"/>
          <w:szCs w:val="24"/>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eastAsia="zh-CN"/>
        </w:rPr>
        <w:t>包括主要原辅材料、燃料、中间产品、副产品、最终产品、污染物、火灾和爆炸伴生/次生物等。根据项目特点分析，本项目</w:t>
      </w:r>
      <w:r>
        <w:rPr>
          <w:rFonts w:hint="eastAsia" w:eastAsia="宋体" w:cs="宋体"/>
          <w:b w:val="0"/>
          <w:bCs/>
          <w:color w:val="auto"/>
          <w:sz w:val="24"/>
          <w:szCs w:val="24"/>
          <w:highlight w:val="none"/>
          <w:lang w:val="en-US" w:eastAsia="zh-CN"/>
        </w:rPr>
        <w:t>为采砂项目，配套了洗砂工序，主要原辅材料为砂料和水，不涉及风险物质</w:t>
      </w:r>
      <w:r>
        <w:rPr>
          <w:rFonts w:hint="eastAsia"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6.</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val="en-US" w:eastAsia="zh-CN"/>
        </w:rPr>
        <w:t xml:space="preserve">.1.2 生产设施风险识别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包括主要生产装置、储运设施、公用工程和辅助生产设施，以及环境保护设施等。根据本项目特点，确定生产设施风险为：</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293" w:name="5.3.1.3向环境转移的途径识别 "/>
      <w:bookmarkEnd w:id="293"/>
      <w:r>
        <w:rPr>
          <w:rFonts w:hint="eastAsia" w:ascii="Times New Roman" w:hAnsi="Times New Roman" w:eastAsia="宋体" w:cs="宋体"/>
          <w:b/>
          <w:bCs w:val="0"/>
          <w:color w:val="auto"/>
          <w:sz w:val="24"/>
          <w:szCs w:val="24"/>
          <w:highlight w:val="none"/>
          <w:lang w:val="en-US" w:eastAsia="zh-CN"/>
        </w:rPr>
        <w:t>6.</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val="en-US" w:eastAsia="zh-CN"/>
        </w:rPr>
        <w:t xml:space="preserve">.1.3 向环境转移的途径识别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空气、水体和土壤等环境要素是危险性物质向环境转移最基本的途径，同时这三种要素之间又随时发生着物质和能量的传递，污染物进入环境后，随着空气和水体环境发生推流迁移、分散稀释和降解转化运动。本项目主要危险</w:t>
      </w:r>
      <w:r>
        <w:rPr>
          <w:rFonts w:hint="eastAsia" w:eastAsia="宋体" w:cs="宋体"/>
          <w:b w:val="0"/>
          <w:bCs/>
          <w:color w:val="auto"/>
          <w:sz w:val="24"/>
          <w:szCs w:val="24"/>
          <w:highlight w:val="none"/>
          <w:lang w:val="en-US" w:eastAsia="zh-CN"/>
        </w:rPr>
        <w:t>因素为</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）开采过程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随着开采</w:t>
      </w:r>
      <w:r>
        <w:rPr>
          <w:rFonts w:hint="eastAsia" w:eastAsia="宋体" w:cs="宋体"/>
          <w:b w:val="0"/>
          <w:bCs/>
          <w:color w:val="auto"/>
          <w:sz w:val="24"/>
          <w:szCs w:val="24"/>
          <w:highlight w:val="none"/>
          <w:lang w:val="en-US" w:eastAsia="zh-CN"/>
        </w:rPr>
        <w:t>面</w:t>
      </w:r>
      <w:r>
        <w:rPr>
          <w:rFonts w:hint="eastAsia" w:ascii="Times New Roman" w:hAnsi="Times New Roman" w:eastAsia="宋体" w:cs="宋体"/>
          <w:b w:val="0"/>
          <w:bCs/>
          <w:color w:val="auto"/>
          <w:sz w:val="24"/>
          <w:szCs w:val="24"/>
          <w:highlight w:val="none"/>
          <w:lang w:eastAsia="zh-CN"/>
        </w:rPr>
        <w:t>的不断</w:t>
      </w:r>
      <w:r>
        <w:rPr>
          <w:rFonts w:hint="eastAsia" w:eastAsia="宋体" w:cs="宋体"/>
          <w:b w:val="0"/>
          <w:bCs/>
          <w:color w:val="auto"/>
          <w:sz w:val="24"/>
          <w:szCs w:val="24"/>
          <w:highlight w:val="none"/>
          <w:lang w:val="en-US" w:eastAsia="zh-CN"/>
        </w:rPr>
        <w:t>下降</w:t>
      </w:r>
      <w:r>
        <w:rPr>
          <w:rFonts w:hint="eastAsia" w:ascii="Times New Roman" w:hAnsi="Times New Roman" w:eastAsia="宋体" w:cs="宋体"/>
          <w:b w:val="0"/>
          <w:bCs/>
          <w:color w:val="auto"/>
          <w:sz w:val="24"/>
          <w:szCs w:val="24"/>
          <w:highlight w:val="none"/>
          <w:lang w:eastAsia="zh-CN"/>
        </w:rPr>
        <w:t>会形成</w:t>
      </w:r>
      <w:r>
        <w:rPr>
          <w:rFonts w:hint="eastAsia" w:eastAsia="宋体" w:cs="宋体"/>
          <w:b w:val="0"/>
          <w:bCs/>
          <w:color w:val="auto"/>
          <w:sz w:val="24"/>
          <w:szCs w:val="24"/>
          <w:highlight w:val="none"/>
          <w:lang w:val="en-US" w:eastAsia="zh-CN"/>
        </w:rPr>
        <w:t>开采斜坡</w:t>
      </w:r>
      <w:r>
        <w:rPr>
          <w:rFonts w:hint="eastAsia" w:ascii="Times New Roman" w:hAnsi="Times New Roman" w:eastAsia="宋体" w:cs="宋体"/>
          <w:b w:val="0"/>
          <w:bCs/>
          <w:color w:val="auto"/>
          <w:sz w:val="24"/>
          <w:szCs w:val="24"/>
          <w:highlight w:val="none"/>
          <w:lang w:eastAsia="zh-CN"/>
        </w:rPr>
        <w:t>，导致岩体的失稳，受暴雨、地震等因素影响，</w:t>
      </w:r>
      <w:r>
        <w:rPr>
          <w:rFonts w:hint="eastAsia" w:eastAsia="宋体" w:cs="宋体"/>
          <w:b w:val="0"/>
          <w:bCs/>
          <w:color w:val="auto"/>
          <w:sz w:val="24"/>
          <w:szCs w:val="24"/>
          <w:highlight w:val="none"/>
          <w:lang w:val="en-US" w:eastAsia="zh-CN"/>
        </w:rPr>
        <w:t>斜坡易出现滑坡</w:t>
      </w:r>
      <w:r>
        <w:rPr>
          <w:rFonts w:hint="eastAsia" w:ascii="Times New Roman" w:hAnsi="Times New Roman" w:eastAsia="宋体" w:cs="宋体"/>
          <w:b w:val="0"/>
          <w:bCs/>
          <w:color w:val="auto"/>
          <w:sz w:val="24"/>
          <w:szCs w:val="24"/>
          <w:highlight w:val="none"/>
          <w:lang w:eastAsia="zh-CN"/>
        </w:rPr>
        <w:t>，破坏生态环境。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成品堆场</w:t>
      </w:r>
      <w:r>
        <w:rPr>
          <w:rFonts w:hint="eastAsia" w:ascii="Times New Roman" w:hAnsi="Times New Roman" w:eastAsia="宋体" w:cs="宋体"/>
          <w:b w:val="0"/>
          <w:bCs/>
          <w:color w:val="auto"/>
          <w:sz w:val="24"/>
          <w:szCs w:val="24"/>
          <w:highlight w:val="none"/>
          <w:lang w:eastAsia="zh-CN"/>
        </w:rPr>
        <w:t>堆场受暴雨、地震等因素影响，发生崩塌、滑坡，破坏生态环境。</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294" w:name="5.3.2环境风险识别结果"/>
      <w:bookmarkEnd w:id="294"/>
      <w:bookmarkStart w:id="295" w:name="_bookmark99"/>
      <w:bookmarkEnd w:id="295"/>
      <w:bookmarkStart w:id="296" w:name="_Toc3169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.2 环境风险识别结果</w:t>
      </w:r>
      <w:bookmarkEnd w:id="29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本项目环境风险见表 </w:t>
      </w:r>
      <w:r>
        <w:rPr>
          <w:rFonts w:hint="eastAsia" w:ascii="Times New Roman" w:hAnsi="Times New Roman"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eastAsia="zh-CN"/>
        </w:rPr>
        <w:t>-1</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环境风险识别一览表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1"/>
        <w:gridCol w:w="1013"/>
        <w:gridCol w:w="684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exact"/>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序号</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风险源</w:t>
            </w:r>
          </w:p>
        </w:tc>
        <w:tc>
          <w:tcPr>
            <w:tcW w:w="6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风险事故概述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exact"/>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开采过程</w:t>
            </w:r>
          </w:p>
        </w:tc>
        <w:tc>
          <w:tcPr>
            <w:tcW w:w="6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随着开采</w:t>
            </w:r>
            <w:r>
              <w:rPr>
                <w:rFonts w:hint="eastAsia" w:ascii="Times New Roman" w:hAnsi="Times New Roman" w:eastAsia="宋体" w:cs="宋体"/>
                <w:b w:val="0"/>
                <w:bCs/>
                <w:color w:val="auto"/>
                <w:sz w:val="21"/>
                <w:szCs w:val="21"/>
                <w:highlight w:val="none"/>
                <w:lang w:val="en-US" w:eastAsia="zh-CN"/>
              </w:rPr>
              <w:t>面</w:t>
            </w:r>
            <w:r>
              <w:rPr>
                <w:rFonts w:hint="eastAsia" w:ascii="Times New Roman" w:hAnsi="Times New Roman" w:eastAsia="宋体" w:cs="宋体"/>
                <w:b w:val="0"/>
                <w:bCs/>
                <w:color w:val="auto"/>
                <w:sz w:val="21"/>
                <w:szCs w:val="21"/>
                <w:highlight w:val="none"/>
                <w:lang w:eastAsia="zh-CN"/>
              </w:rPr>
              <w:t>的不断</w:t>
            </w:r>
            <w:r>
              <w:rPr>
                <w:rFonts w:hint="eastAsia" w:ascii="Times New Roman" w:hAnsi="Times New Roman" w:eastAsia="宋体" w:cs="宋体"/>
                <w:b w:val="0"/>
                <w:bCs/>
                <w:color w:val="auto"/>
                <w:sz w:val="21"/>
                <w:szCs w:val="21"/>
                <w:highlight w:val="none"/>
                <w:lang w:val="en-US" w:eastAsia="zh-CN"/>
              </w:rPr>
              <w:t>下降</w:t>
            </w:r>
            <w:r>
              <w:rPr>
                <w:rFonts w:hint="eastAsia" w:ascii="Times New Roman" w:hAnsi="Times New Roman" w:eastAsia="宋体" w:cs="宋体"/>
                <w:b w:val="0"/>
                <w:bCs/>
                <w:color w:val="auto"/>
                <w:sz w:val="21"/>
                <w:szCs w:val="21"/>
                <w:highlight w:val="none"/>
                <w:lang w:eastAsia="zh-CN"/>
              </w:rPr>
              <w:t>会形成</w:t>
            </w:r>
            <w:r>
              <w:rPr>
                <w:rFonts w:hint="eastAsia" w:ascii="Times New Roman" w:hAnsi="Times New Roman" w:eastAsia="宋体" w:cs="宋体"/>
                <w:b w:val="0"/>
                <w:bCs/>
                <w:color w:val="auto"/>
                <w:sz w:val="21"/>
                <w:szCs w:val="21"/>
                <w:highlight w:val="none"/>
                <w:lang w:val="en-US" w:eastAsia="zh-CN"/>
              </w:rPr>
              <w:t>开采斜坡</w:t>
            </w:r>
            <w:r>
              <w:rPr>
                <w:rFonts w:hint="eastAsia" w:ascii="Times New Roman" w:hAnsi="Times New Roman" w:eastAsia="宋体" w:cs="宋体"/>
                <w:b w:val="0"/>
                <w:bCs/>
                <w:color w:val="auto"/>
                <w:sz w:val="21"/>
                <w:szCs w:val="21"/>
                <w:highlight w:val="none"/>
                <w:lang w:eastAsia="zh-CN"/>
              </w:rPr>
              <w:t>，导致岩体的失稳，受暴雨、地震等因素影响，</w:t>
            </w:r>
            <w:r>
              <w:rPr>
                <w:rFonts w:hint="eastAsia" w:ascii="Times New Roman" w:hAnsi="Times New Roman" w:eastAsia="宋体" w:cs="宋体"/>
                <w:b w:val="0"/>
                <w:bCs/>
                <w:color w:val="auto"/>
                <w:sz w:val="21"/>
                <w:szCs w:val="21"/>
                <w:highlight w:val="none"/>
                <w:lang w:val="en-US" w:eastAsia="zh-CN"/>
              </w:rPr>
              <w:t>斜坡易出现滑坡</w:t>
            </w:r>
            <w:r>
              <w:rPr>
                <w:rFonts w:hint="eastAsia" w:ascii="Times New Roman" w:hAnsi="Times New Roman" w:eastAsia="宋体" w:cs="宋体"/>
                <w:b w:val="0"/>
                <w:bCs/>
                <w:color w:val="auto"/>
                <w:sz w:val="21"/>
                <w:szCs w:val="21"/>
                <w:highlight w:val="none"/>
                <w:lang w:eastAsia="zh-CN"/>
              </w:rPr>
              <w:t>，破坏生态环境。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exact"/>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2</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成品</w:t>
            </w:r>
            <w:r>
              <w:rPr>
                <w:rFonts w:hint="eastAsia" w:ascii="Times New Roman" w:hAnsi="Times New Roman" w:eastAsia="宋体" w:cs="宋体"/>
                <w:b w:val="0"/>
                <w:bCs/>
                <w:color w:val="auto"/>
                <w:sz w:val="21"/>
                <w:szCs w:val="21"/>
                <w:highlight w:val="none"/>
                <w:lang w:eastAsia="zh-CN"/>
              </w:rPr>
              <w:t>堆场</w:t>
            </w:r>
          </w:p>
        </w:tc>
        <w:tc>
          <w:tcPr>
            <w:tcW w:w="6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堆场受暴雨、地震等因素影响，发生崩塌、滑坡，破坏生态环境</w:t>
            </w:r>
          </w:p>
        </w:tc>
      </w:tr>
    </w:tbl>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97" w:name="5.4环境风险分析"/>
      <w:bookmarkEnd w:id="297"/>
      <w:bookmarkStart w:id="298" w:name="_bookmark100"/>
      <w:bookmarkEnd w:id="298"/>
      <w:bookmarkStart w:id="299" w:name="_Toc2677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环境风险分析</w:t>
      </w:r>
      <w:bookmarkEnd w:id="299"/>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00" w:name="_bookmark101"/>
      <w:bookmarkEnd w:id="300"/>
      <w:bookmarkStart w:id="301" w:name="5.4.1炸药及雷管爆炸风险分析"/>
      <w:bookmarkEnd w:id="301"/>
      <w:bookmarkStart w:id="302" w:name="_Toc19615"/>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.1 采场</w:t>
      </w:r>
      <w:r>
        <w:rPr>
          <w:rFonts w:hint="eastAsia" w:eastAsia="宋体"/>
          <w:b/>
          <w:bCs w:val="0"/>
          <w:color w:val="auto"/>
          <w:highlight w:val="none"/>
          <w:lang w:val="en-US" w:eastAsia="zh-CN"/>
        </w:rPr>
        <w:t>滑坡</w:t>
      </w:r>
      <w:r>
        <w:rPr>
          <w:rFonts w:hint="eastAsia" w:ascii="Times New Roman" w:hAnsi="Times New Roman" w:eastAsia="宋体"/>
          <w:b/>
          <w:bCs w:val="0"/>
          <w:color w:val="auto"/>
          <w:highlight w:val="none"/>
          <w:lang w:val="en-US" w:eastAsia="zh-CN"/>
        </w:rPr>
        <w:t>风险分析</w:t>
      </w:r>
      <w:bookmarkEnd w:id="30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采场</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现象一方面对</w:t>
      </w:r>
      <w:r>
        <w:rPr>
          <w:rFonts w:hint="eastAsia" w:eastAsia="宋体" w:cs="宋体"/>
          <w:b w:val="0"/>
          <w:bCs/>
          <w:color w:val="auto"/>
          <w:sz w:val="24"/>
          <w:szCs w:val="24"/>
          <w:highlight w:val="none"/>
          <w:lang w:val="en-US" w:eastAsia="zh-CN"/>
        </w:rPr>
        <w:t>采场</w:t>
      </w:r>
      <w:r>
        <w:rPr>
          <w:rFonts w:hint="eastAsia" w:ascii="Times New Roman" w:hAnsi="Times New Roman" w:eastAsia="宋体" w:cs="宋体"/>
          <w:b w:val="0"/>
          <w:bCs/>
          <w:color w:val="auto"/>
          <w:sz w:val="24"/>
          <w:szCs w:val="24"/>
          <w:highlight w:val="none"/>
          <w:lang w:eastAsia="zh-CN"/>
        </w:rPr>
        <w:t>地表活动形成危害，可能造成</w:t>
      </w:r>
      <w:r>
        <w:rPr>
          <w:rFonts w:hint="eastAsia" w:eastAsia="宋体" w:cs="宋体"/>
          <w:b w:val="0"/>
          <w:bCs/>
          <w:color w:val="auto"/>
          <w:sz w:val="24"/>
          <w:szCs w:val="24"/>
          <w:highlight w:val="none"/>
          <w:lang w:val="en-US" w:eastAsia="zh-CN"/>
        </w:rPr>
        <w:t>滑坡区下</w:t>
      </w:r>
      <w:r>
        <w:rPr>
          <w:rFonts w:hint="eastAsia" w:ascii="Times New Roman" w:hAnsi="Times New Roman" w:eastAsia="宋体" w:cs="宋体"/>
          <w:b w:val="0"/>
          <w:bCs/>
          <w:color w:val="auto"/>
          <w:sz w:val="24"/>
          <w:szCs w:val="24"/>
          <w:highlight w:val="none"/>
          <w:lang w:eastAsia="zh-CN"/>
        </w:rPr>
        <w:t>方的人员伤亡，</w:t>
      </w:r>
      <w:r>
        <w:rPr>
          <w:rFonts w:hint="eastAsia" w:eastAsia="宋体" w:cs="宋体"/>
          <w:b w:val="0"/>
          <w:bCs/>
          <w:color w:val="auto"/>
          <w:sz w:val="24"/>
          <w:szCs w:val="24"/>
          <w:highlight w:val="none"/>
          <w:lang w:val="en-US" w:eastAsia="zh-CN"/>
        </w:rPr>
        <w:t>上方</w:t>
      </w:r>
      <w:r>
        <w:rPr>
          <w:rFonts w:hint="eastAsia" w:ascii="Times New Roman" w:hAnsi="Times New Roman" w:eastAsia="宋体" w:cs="宋体"/>
          <w:b w:val="0"/>
          <w:bCs/>
          <w:color w:val="auto"/>
          <w:sz w:val="24"/>
          <w:szCs w:val="24"/>
          <w:highlight w:val="none"/>
          <w:lang w:eastAsia="zh-CN"/>
        </w:rPr>
        <w:t>建筑损害等危害，另一方面对生态环境，对当地土壤，植被和景观环境也造成一定的影响。企业应委托资质部门编制《地质灾害危险性评估说明书》，对矿山开采可能引起的</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对环境的影响进行系统的、专业的分析。</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03" w:name="_bookmark103"/>
      <w:bookmarkEnd w:id="303"/>
      <w:bookmarkStart w:id="304" w:name="5.4.3废石临时堆场风险分析"/>
      <w:bookmarkEnd w:id="304"/>
      <w:bookmarkStart w:id="305" w:name="_Toc2390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 xml:space="preserve">.3 </w:t>
      </w:r>
      <w:r>
        <w:rPr>
          <w:rFonts w:hint="eastAsia" w:eastAsia="宋体"/>
          <w:b/>
          <w:bCs w:val="0"/>
          <w:color w:val="auto"/>
          <w:highlight w:val="none"/>
          <w:lang w:val="en-US" w:eastAsia="zh-CN"/>
        </w:rPr>
        <w:t>成品</w:t>
      </w:r>
      <w:r>
        <w:rPr>
          <w:rFonts w:hint="eastAsia" w:ascii="Times New Roman" w:hAnsi="Times New Roman" w:eastAsia="宋体"/>
          <w:b/>
          <w:bCs w:val="0"/>
          <w:color w:val="auto"/>
          <w:highlight w:val="none"/>
          <w:lang w:val="en-US" w:eastAsia="zh-CN"/>
        </w:rPr>
        <w:t>堆场风险分析</w:t>
      </w:r>
      <w:bookmarkEnd w:id="30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w:t>
      </w:r>
      <w:r>
        <w:rPr>
          <w:rFonts w:hint="eastAsia" w:ascii="Times New Roman" w:hAnsi="Times New Roman" w:eastAsia="宋体" w:cs="宋体"/>
          <w:b w:val="0"/>
          <w:bCs/>
          <w:color w:val="auto"/>
          <w:sz w:val="24"/>
          <w:szCs w:val="24"/>
          <w:highlight w:val="none"/>
          <w:lang w:val="en-US" w:eastAsia="zh-CN"/>
        </w:rPr>
        <w:t>为</w:t>
      </w:r>
      <w:r>
        <w:rPr>
          <w:rFonts w:hint="eastAsia" w:eastAsia="宋体" w:cs="宋体"/>
          <w:b w:val="0"/>
          <w:bCs/>
          <w:color w:val="auto"/>
          <w:sz w:val="24"/>
          <w:szCs w:val="24"/>
          <w:highlight w:val="none"/>
          <w:lang w:val="en-US" w:eastAsia="zh-CN"/>
        </w:rPr>
        <w:t>利用现有采空区</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主要存放清洗过后的成品，主要为适应市场需求，不会长时间储存</w:t>
      </w:r>
      <w:r>
        <w:rPr>
          <w:rFonts w:hint="eastAsia" w:ascii="Times New Roman" w:hAnsi="Times New Roman" w:eastAsia="宋体" w:cs="宋体"/>
          <w:b w:val="0"/>
          <w:bCs/>
          <w:color w:val="auto"/>
          <w:sz w:val="24"/>
          <w:szCs w:val="24"/>
          <w:highlight w:val="none"/>
          <w:lang w:eastAsia="zh-CN"/>
        </w:rPr>
        <w:t>，堆场最大堆存量为</w:t>
      </w:r>
      <w:r>
        <w:rPr>
          <w:rFonts w:hint="eastAsia" w:eastAsia="宋体" w:cs="宋体"/>
          <w:b w:val="0"/>
          <w:bCs/>
          <w:color w:val="auto"/>
          <w:sz w:val="24"/>
          <w:szCs w:val="24"/>
          <w:highlight w:val="none"/>
          <w:lang w:val="en-US" w:eastAsia="zh-CN"/>
        </w:rPr>
        <w:t>10</w:t>
      </w:r>
      <w:r>
        <w:rPr>
          <w:rFonts w:hint="eastAsia" w:ascii="Times New Roman" w:hAnsi="Times New Roman" w:eastAsia="宋体" w:cs="宋体"/>
          <w:b w:val="0"/>
          <w:bCs/>
          <w:color w:val="auto"/>
          <w:sz w:val="24"/>
          <w:szCs w:val="24"/>
          <w:highlight w:val="none"/>
          <w:lang w:val="en-US" w:eastAsia="zh-CN"/>
        </w:rPr>
        <w:t>0</w:t>
      </w:r>
      <w:r>
        <w:rPr>
          <w:rFonts w:hint="eastAsia" w:ascii="Times New Roman" w:hAnsi="Times New Roman" w:eastAsia="宋体" w:cs="宋体"/>
          <w:b w:val="0"/>
          <w:bCs/>
          <w:color w:val="auto"/>
          <w:sz w:val="24"/>
          <w:szCs w:val="24"/>
          <w:highlight w:val="none"/>
          <w:lang w:eastAsia="zh-CN"/>
        </w:rPr>
        <w:t>00m³。本项目</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堆场为</w:t>
      </w:r>
      <w:r>
        <w:rPr>
          <w:rFonts w:hint="eastAsia" w:eastAsia="宋体" w:cs="宋体"/>
          <w:b w:val="0"/>
          <w:bCs/>
          <w:color w:val="auto"/>
          <w:sz w:val="24"/>
          <w:szCs w:val="24"/>
          <w:highlight w:val="none"/>
          <w:lang w:val="en-US" w:eastAsia="zh-CN"/>
        </w:rPr>
        <w:t>利用现有采空区</w:t>
      </w:r>
      <w:r>
        <w:rPr>
          <w:rFonts w:hint="eastAsia" w:ascii="Times New Roman" w:hAnsi="Times New Roman" w:eastAsia="宋体" w:cs="宋体"/>
          <w:b w:val="0"/>
          <w:bCs/>
          <w:color w:val="auto"/>
          <w:sz w:val="24"/>
          <w:szCs w:val="24"/>
          <w:highlight w:val="none"/>
          <w:lang w:eastAsia="zh-CN"/>
        </w:rPr>
        <w:t>，发生堆场滑坡事故几率较小，且堆场下游无居民等环境敏感点，只会对下游的生态造成小面积的破坏。本项目</w:t>
      </w:r>
      <w:r>
        <w:rPr>
          <w:rFonts w:hint="eastAsia" w:eastAsia="宋体" w:cs="宋体"/>
          <w:b w:val="0"/>
          <w:bCs/>
          <w:color w:val="auto"/>
          <w:sz w:val="24"/>
          <w:szCs w:val="24"/>
          <w:highlight w:val="none"/>
          <w:lang w:val="en-US" w:eastAsia="zh-CN"/>
        </w:rPr>
        <w:t>按照水土保持方案要求采取措施</w:t>
      </w:r>
      <w:r>
        <w:rPr>
          <w:rFonts w:hint="eastAsia" w:ascii="Times New Roman" w:hAnsi="Times New Roman" w:eastAsia="宋体" w:cs="宋体"/>
          <w:b w:val="0"/>
          <w:bCs/>
          <w:color w:val="auto"/>
          <w:sz w:val="24"/>
          <w:szCs w:val="24"/>
          <w:highlight w:val="none"/>
          <w:lang w:eastAsia="zh-CN"/>
        </w:rPr>
        <w:t>，减少</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滑落对周边生态产生的影响。</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06" w:name="5.5环境风险防治措施及应急要求"/>
      <w:bookmarkEnd w:id="306"/>
      <w:bookmarkStart w:id="307" w:name="_bookmark104"/>
      <w:bookmarkEnd w:id="307"/>
      <w:bookmarkStart w:id="308" w:name="_Toc199"/>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 xml:space="preserve"> 环境风险防治措施及应急要求</w:t>
      </w:r>
      <w:bookmarkEnd w:id="30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09" w:name="5.5.1炸药风险防治措施"/>
      <w:bookmarkEnd w:id="309"/>
      <w:bookmarkStart w:id="310" w:name="_bookmark105"/>
      <w:bookmarkEnd w:id="310"/>
      <w:bookmarkStart w:id="311" w:name="_Toc12539"/>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.1  采场风险防治措施</w:t>
      </w:r>
      <w:bookmarkEnd w:id="31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开采进程</w:t>
      </w:r>
      <w:r>
        <w:rPr>
          <w:rFonts w:hint="eastAsia" w:ascii="Times New Roman" w:hAnsi="Times New Roman" w:eastAsia="宋体" w:cs="宋体"/>
          <w:b w:val="0"/>
          <w:bCs/>
          <w:color w:val="auto"/>
          <w:sz w:val="24"/>
          <w:szCs w:val="24"/>
          <w:highlight w:val="none"/>
          <w:lang w:eastAsia="zh-CN"/>
        </w:rPr>
        <w:t>中要采取有效的安全技术和安全管理措施，避免发生</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、高处坠落、物体打击等各种事故，保护作业人员的生命安全和企业的财产安全。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）矿区及附近积水或雨水有可能</w:t>
      </w:r>
      <w:r>
        <w:rPr>
          <w:rFonts w:hint="eastAsia" w:eastAsia="宋体" w:cs="宋体"/>
          <w:b w:val="0"/>
          <w:bCs/>
          <w:color w:val="auto"/>
          <w:sz w:val="24"/>
          <w:szCs w:val="24"/>
          <w:highlight w:val="none"/>
          <w:lang w:val="en-US" w:eastAsia="zh-CN"/>
        </w:rPr>
        <w:t>排入采区</w:t>
      </w:r>
      <w:r>
        <w:rPr>
          <w:rFonts w:hint="eastAsia" w:ascii="Times New Roman" w:hAnsi="Times New Roman" w:eastAsia="宋体" w:cs="宋体"/>
          <w:b w:val="0"/>
          <w:bCs/>
          <w:color w:val="auto"/>
          <w:sz w:val="24"/>
          <w:szCs w:val="24"/>
          <w:highlight w:val="none"/>
          <w:lang w:eastAsia="zh-CN"/>
        </w:rPr>
        <w:t>时，应在容易积水的地方修筑排水沟；每年雨季前一个季度，由主管矿长组织一次防洪水检查，并编制防洪计划，其工程必须在雨季前竣工；雨季应有专人检查矿区防洪情况，情况危险时，必须停产，所有人员必须撤出井下，确保人员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矿山在进行开采之前，建议在不影响后期开采的前提下，选定有代表性的矿体，布置试验采场，进一步验证和优化可研采矿方法设计的各项参数，最终选定技术可行、经济合理、安全高效的采矿设计，并用于指导大规模的开采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）通过可研立项，加强对相关矿段矿岩的物理力学参数等岩石力学工作基础资料和数据的测试和获取工作，并逐步掌握开采过程中矿区地压活动规律，以指导采场采空区处理和控制采动影响关系。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5</w:t>
      </w:r>
      <w:r>
        <w:rPr>
          <w:rFonts w:hint="eastAsia" w:ascii="Times New Roman" w:hAnsi="Times New Roman" w:eastAsia="宋体" w:cs="宋体"/>
          <w:b w:val="0"/>
          <w:bCs/>
          <w:color w:val="auto"/>
          <w:sz w:val="24"/>
          <w:szCs w:val="24"/>
          <w:highlight w:val="none"/>
          <w:lang w:eastAsia="zh-CN"/>
        </w:rPr>
        <w:t>）加强对该矿段各采场的</w:t>
      </w:r>
      <w:r>
        <w:rPr>
          <w:rFonts w:hint="eastAsia" w:eastAsia="宋体" w:cs="宋体"/>
          <w:b w:val="0"/>
          <w:bCs/>
          <w:color w:val="auto"/>
          <w:sz w:val="24"/>
          <w:szCs w:val="24"/>
          <w:highlight w:val="none"/>
          <w:lang w:val="en-US" w:eastAsia="zh-CN"/>
        </w:rPr>
        <w:t>开</w:t>
      </w:r>
      <w:r>
        <w:rPr>
          <w:rFonts w:hint="eastAsia" w:ascii="Times New Roman" w:hAnsi="Times New Roman" w:eastAsia="宋体" w:cs="宋体"/>
          <w:b w:val="0"/>
          <w:bCs/>
          <w:color w:val="auto"/>
          <w:sz w:val="24"/>
          <w:szCs w:val="24"/>
          <w:highlight w:val="none"/>
          <w:lang w:eastAsia="zh-CN"/>
        </w:rPr>
        <w:t>采顺序研究工作， 确保资源的充分回收和开采中的安全。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eastAsia="zh-CN"/>
        </w:rPr>
        <w:t>）进一步研究确定各种岩石条件的稳定性，优化采场结构参数，提出科学的管理方法。必须建立管理制度。对</w:t>
      </w:r>
      <w:r>
        <w:rPr>
          <w:rFonts w:hint="eastAsia" w:eastAsia="宋体" w:cs="宋体"/>
          <w:b w:val="0"/>
          <w:bCs/>
          <w:color w:val="auto"/>
          <w:sz w:val="24"/>
          <w:szCs w:val="24"/>
          <w:highlight w:val="none"/>
          <w:lang w:val="en-US" w:eastAsia="zh-CN"/>
        </w:rPr>
        <w:t>岩体</w:t>
      </w:r>
      <w:r>
        <w:rPr>
          <w:rFonts w:hint="eastAsia" w:ascii="Times New Roman" w:hAnsi="Times New Roman" w:eastAsia="宋体" w:cs="宋体"/>
          <w:b w:val="0"/>
          <w:bCs/>
          <w:color w:val="auto"/>
          <w:sz w:val="24"/>
          <w:szCs w:val="24"/>
          <w:highlight w:val="none"/>
          <w:lang w:eastAsia="zh-CN"/>
        </w:rPr>
        <w:t>不稳定的采场，开采时要指定专人负责检查。</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12" w:name="5.5.3废石临时堆场风险防治措施"/>
      <w:bookmarkEnd w:id="312"/>
      <w:bookmarkStart w:id="313" w:name="_bookmark107"/>
      <w:bookmarkEnd w:id="313"/>
      <w:bookmarkStart w:id="314" w:name="_Toc16112"/>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 xml:space="preserve"> 废石临时堆场风险防治措施</w:t>
      </w:r>
      <w:bookmarkEnd w:id="31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企业应按照要求在堆场设置</w:t>
      </w:r>
      <w:r>
        <w:rPr>
          <w:rFonts w:hint="eastAsia" w:eastAsia="宋体" w:cs="宋体"/>
          <w:b w:val="0"/>
          <w:bCs/>
          <w:color w:val="auto"/>
          <w:sz w:val="24"/>
          <w:szCs w:val="24"/>
          <w:highlight w:val="none"/>
          <w:lang w:val="en-US" w:eastAsia="zh-CN"/>
        </w:rPr>
        <w:t>导排设施</w:t>
      </w:r>
      <w:r>
        <w:rPr>
          <w:rFonts w:hint="eastAsia" w:ascii="Times New Roman" w:hAnsi="Times New Roman" w:eastAsia="宋体" w:cs="宋体"/>
          <w:b w:val="0"/>
          <w:bCs/>
          <w:color w:val="auto"/>
          <w:sz w:val="24"/>
          <w:szCs w:val="24"/>
          <w:highlight w:val="none"/>
          <w:lang w:eastAsia="zh-CN"/>
        </w:rPr>
        <w:t>，避免堆场暴雨条件下地质灾害发生。堆场停止使用后，应对堆场进行土地复垦，恢复植被。</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cs="宋体"/>
          <w:b w:val="0"/>
          <w:bCs/>
          <w:color w:val="auto"/>
          <w:sz w:val="24"/>
          <w:szCs w:val="24"/>
          <w:highlight w:val="none"/>
          <w:lang w:eastAsia="zh-CN"/>
        </w:rPr>
      </w:pPr>
      <w:bookmarkStart w:id="315" w:name="_bookmark108"/>
      <w:bookmarkEnd w:id="315"/>
      <w:bookmarkStart w:id="316" w:name="5.5.4应急措施"/>
      <w:bookmarkEnd w:id="316"/>
      <w:bookmarkStart w:id="317" w:name="_Toc12367"/>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 xml:space="preserve"> 应急措施</w:t>
      </w:r>
      <w:bookmarkEnd w:id="31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采区</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事故主要为</w:t>
      </w:r>
      <w:r>
        <w:rPr>
          <w:rFonts w:hint="eastAsia" w:eastAsia="宋体" w:cs="宋体"/>
          <w:b w:val="0"/>
          <w:bCs/>
          <w:color w:val="auto"/>
          <w:sz w:val="24"/>
          <w:szCs w:val="24"/>
          <w:highlight w:val="none"/>
          <w:lang w:val="en-US" w:eastAsia="zh-CN"/>
        </w:rPr>
        <w:t>开采过程形成斜坡，在大雨情况下发生</w:t>
      </w:r>
      <w:r>
        <w:rPr>
          <w:rFonts w:hint="eastAsia" w:ascii="Times New Roman" w:hAnsi="Times New Roman" w:eastAsia="宋体" w:cs="宋体"/>
          <w:b w:val="0"/>
          <w:bCs/>
          <w:color w:val="auto"/>
          <w:sz w:val="24"/>
          <w:szCs w:val="24"/>
          <w:highlight w:val="none"/>
          <w:lang w:eastAsia="zh-CN"/>
        </w:rPr>
        <w:t>大面积</w:t>
      </w:r>
      <w:r>
        <w:rPr>
          <w:rFonts w:hint="eastAsia" w:eastAsia="宋体" w:cs="宋体"/>
          <w:b w:val="0"/>
          <w:bCs/>
          <w:color w:val="auto"/>
          <w:sz w:val="24"/>
          <w:szCs w:val="24"/>
          <w:highlight w:val="none"/>
          <w:lang w:val="en-US" w:eastAsia="zh-CN"/>
        </w:rPr>
        <w:t>滑坡</w:t>
      </w:r>
      <w:r>
        <w:rPr>
          <w:rFonts w:hint="eastAsia"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eastAsia="zh-CN"/>
        </w:rPr>
        <w:t>造成人员伤亡，应采取的应急预案为：</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可能发生的原因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岩石松散，暴露面过大，采区</w:t>
      </w:r>
      <w:r>
        <w:rPr>
          <w:rFonts w:hint="eastAsia" w:eastAsia="宋体" w:cs="宋体"/>
          <w:b w:val="0"/>
          <w:bCs/>
          <w:color w:val="auto"/>
          <w:sz w:val="24"/>
          <w:szCs w:val="24"/>
          <w:highlight w:val="none"/>
          <w:lang w:val="en-US" w:eastAsia="zh-CN"/>
        </w:rPr>
        <w:t>边坡陡峭</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雨水过急、</w:t>
      </w:r>
      <w:r>
        <w:rPr>
          <w:rFonts w:hint="eastAsia" w:ascii="Times New Roman" w:hAnsi="Times New Roman" w:eastAsia="宋体" w:cs="宋体"/>
          <w:b w:val="0"/>
          <w:bCs/>
          <w:color w:val="auto"/>
          <w:sz w:val="24"/>
          <w:szCs w:val="24"/>
          <w:highlight w:val="none"/>
          <w:lang w:eastAsia="zh-CN"/>
        </w:rPr>
        <w:t>过大，导致</w:t>
      </w:r>
      <w:r>
        <w:rPr>
          <w:rFonts w:hint="eastAsia" w:eastAsia="宋体" w:cs="宋体"/>
          <w:b w:val="0"/>
          <w:bCs/>
          <w:color w:val="auto"/>
          <w:sz w:val="24"/>
          <w:szCs w:val="24"/>
          <w:highlight w:val="none"/>
          <w:lang w:val="en-US" w:eastAsia="zh-CN"/>
        </w:rPr>
        <w:t>边坡急剧汇水</w:t>
      </w:r>
      <w:r>
        <w:rPr>
          <w:rFonts w:hint="eastAsia" w:ascii="Times New Roman" w:hAnsi="Times New Roman" w:eastAsia="宋体" w:cs="宋体"/>
          <w:b w:val="0"/>
          <w:bCs/>
          <w:color w:val="auto"/>
          <w:sz w:val="24"/>
          <w:szCs w:val="24"/>
          <w:highlight w:val="none"/>
          <w:lang w:eastAsia="zh-CN"/>
        </w:rPr>
        <w:t>，产生大面积</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灾害。</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可能造成的后果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造成人员伤亡、设备损坏、生产停顿。</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应急救援设备、药品和物资、救护车、担架、氧气等。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设备：装岩机、清理现场的工具、处理</w:t>
      </w:r>
      <w:r>
        <w:rPr>
          <w:rFonts w:hint="eastAsia" w:eastAsia="宋体" w:cs="宋体"/>
          <w:b w:val="0"/>
          <w:bCs/>
          <w:color w:val="auto"/>
          <w:sz w:val="24"/>
          <w:szCs w:val="24"/>
          <w:highlight w:val="none"/>
          <w:lang w:val="en-US" w:eastAsia="zh-CN"/>
        </w:rPr>
        <w:t>陡峭</w:t>
      </w:r>
      <w:r>
        <w:rPr>
          <w:rFonts w:hint="eastAsia" w:ascii="Times New Roman" w:hAnsi="Times New Roman" w:eastAsia="宋体" w:cs="宋体"/>
          <w:b w:val="0"/>
          <w:bCs/>
          <w:color w:val="auto"/>
          <w:sz w:val="24"/>
          <w:szCs w:val="24"/>
          <w:highlight w:val="none"/>
          <w:lang w:eastAsia="zh-CN"/>
        </w:rPr>
        <w:t>等。 药品：急救包、止血药品、绷带、担架、氧气等。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（4）防范措施和对策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①坚持合理的开采顺序、松软岩石要控制暴露面，及时进行</w:t>
      </w:r>
      <w:r>
        <w:rPr>
          <w:rFonts w:hint="eastAsia" w:eastAsia="宋体" w:cs="宋体"/>
          <w:b w:val="0"/>
          <w:bCs/>
          <w:color w:val="auto"/>
          <w:sz w:val="24"/>
          <w:szCs w:val="24"/>
          <w:highlight w:val="none"/>
          <w:lang w:val="en-US" w:eastAsia="zh-CN"/>
        </w:rPr>
        <w:t>削坡，坡面缓降</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②加强作业现场安全检查的监管、严禁违章指挥和违章作业。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（5）应急救援方法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①发生</w:t>
      </w:r>
      <w:r>
        <w:rPr>
          <w:rFonts w:hint="eastAsia" w:eastAsia="宋体" w:cs="宋体"/>
          <w:b w:val="0"/>
          <w:bCs/>
          <w:color w:val="auto"/>
          <w:sz w:val="24"/>
          <w:szCs w:val="24"/>
          <w:highlight w:val="none"/>
          <w:lang w:val="en-US" w:eastAsia="zh-CN"/>
        </w:rPr>
        <w:t>事故</w:t>
      </w:r>
      <w:r>
        <w:rPr>
          <w:rFonts w:hint="eastAsia" w:ascii="Times New Roman" w:hAnsi="Times New Roman" w:eastAsia="宋体" w:cs="宋体"/>
          <w:b w:val="0"/>
          <w:bCs/>
          <w:color w:val="auto"/>
          <w:sz w:val="24"/>
          <w:szCs w:val="24"/>
          <w:highlight w:val="none"/>
          <w:lang w:eastAsia="zh-CN"/>
        </w:rPr>
        <w:t>时，及时向指挥部汇报，组织现场人员抢救受伤人员；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②医疗服务组赶赴现场后，快速诊治伤员，伤情严重者或受伤人员多，请求120 急救中心增援，送受伤人员到医院治疗；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③划定危险区域，撤除危险区域内的人员、设备。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④组织有经验人员处理事故现场，清理被掩埋的设备，扼制事故的蔓延和发展。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针对本项目可能发生的突发事故，本报告中建议矿山企业制定的突发事故应急预案格式及内容见表</w:t>
      </w:r>
      <w:r>
        <w:rPr>
          <w:rFonts w:hint="eastAsia" w:ascii="Times New Roman" w:hAnsi="Times New Roman"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-1，将风险事故率降低到最小，使事故产生的影响范围得以减小，财产损失率及人员伤亡率降到最低，对企业生产影响程度降到最低。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eastAsia="zh-CN"/>
        </w:rPr>
        <w:t>-1</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采空区塌陷突发事故应急预案内容及要求</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611"/>
        <w:gridCol w:w="1915"/>
        <w:gridCol w:w="5996"/>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序号</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项目</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内容及要求</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总则</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2</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危险源概况</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详述危险源类型、数量及其分布状况</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3</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应急计划区</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物料贮存区、</w:t>
            </w:r>
            <w:r>
              <w:rPr>
                <w:rFonts w:hint="eastAsia" w:ascii="Times New Roman" w:hAnsi="Times New Roman" w:eastAsia="宋体" w:cs="宋体"/>
                <w:b w:val="0"/>
                <w:bCs/>
                <w:color w:val="auto"/>
                <w:sz w:val="21"/>
                <w:szCs w:val="21"/>
                <w:highlight w:val="none"/>
                <w:lang w:eastAsia="zh-CN"/>
              </w:rPr>
              <w:t>影响区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应急组织</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矿山：矿山指挥部——负责现场全面指挥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地方：地方指挥部——负责矿山附近地区全面指挥、救援、管制 疏散</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5</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应急状态分类 及应急响应程 序</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规定事故的级别及相应的应急分类响应程序</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002"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6</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应急设施，设备与材料</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生产区：1．防火灾事故应急设施、设备与材料，主要为消防器材。2．防有毒有害物质外溢、扩散</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7</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应急通讯和交通</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规定应急状态下的通讯方式、通知方式和交通保障、管制</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8</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应急环境监测及事故后评估</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由专业队伍负责对事故现场进行监测，对事故性质、参数与后果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进行评估，为指挥部门提供决策依据</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9</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应急防护措施、</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事故现场：控制事故、防止扩大、蔓延及连锁反应。</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10</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应急剂量控制、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撤离组织计划、 医疗救护与公 众健康</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事故现场：事故处理人员对毒物的应急剂量控制规定，现场及邻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近人员撤离组织计划及救护； 矿山邻近区：受事故影响的邻近区域人员及公众对毒物的应急剂 量控制规定，撤离组织计划及救护。</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11</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应急状态终止与恢复措施</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规定应急状态终止程序；事故现场善后处理，恢复措施；邻近区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域解除事故警戒及善后恢复措施。</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12</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人员培训与演练</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应急计划制定后，平时安排人员培训与演练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036" w:hRule="exact"/>
        </w:trPr>
        <w:tc>
          <w:tcPr>
            <w:tcW w:w="61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宋体"/>
                <w:b w:val="0"/>
                <w:bCs/>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13</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记录和报告</w:t>
            </w:r>
          </w:p>
        </w:tc>
        <w:tc>
          <w:tcPr>
            <w:tcW w:w="599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设置应急事故专门记录、建立档案和专门报告制度，设专门部门 和专人负责管理</w:t>
            </w:r>
          </w:p>
        </w:tc>
      </w:tr>
    </w:tbl>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18" w:name="5.6分析结论"/>
      <w:bookmarkEnd w:id="318"/>
      <w:bookmarkStart w:id="319" w:name="_bookmark109"/>
      <w:bookmarkEnd w:id="319"/>
      <w:bookmarkStart w:id="320" w:name="_Toc26027"/>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 xml:space="preserve">5 </w:t>
      </w:r>
      <w:r>
        <w:rPr>
          <w:rFonts w:hint="eastAsia" w:ascii="Times New Roman" w:hAnsi="Times New Roman" w:eastAsia="宋体"/>
          <w:b/>
          <w:bCs w:val="0"/>
          <w:color w:val="auto"/>
          <w:highlight w:val="none"/>
          <w:lang w:val="en-US" w:eastAsia="zh-CN"/>
        </w:rPr>
        <w:t>分析结论</w:t>
      </w:r>
      <w:bookmarkEnd w:id="32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为避免风险事故，尤其是避免风险事故发生后对环境造成严重的污染，建设 单位应树立并强化环境风险意识，增加对环境风险的防范措施，并使这些措施在 实际工作中得到落实，为进一步减小事故的发生，减缓本项目在建设、运行过程 中对环境的潜在威胁，建议建设单位采取综合防范措施，并从技术、工艺、管理 等方面对以下予以重视。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本项目采</w:t>
      </w:r>
      <w:r>
        <w:rPr>
          <w:rFonts w:hint="eastAsia" w:eastAsia="宋体" w:cs="宋体"/>
          <w:b w:val="0"/>
          <w:bCs/>
          <w:color w:val="auto"/>
          <w:sz w:val="24"/>
          <w:szCs w:val="24"/>
          <w:highlight w:val="none"/>
          <w:lang w:val="en-US" w:eastAsia="zh-CN"/>
        </w:rPr>
        <w:t>场</w:t>
      </w:r>
      <w:r>
        <w:rPr>
          <w:rFonts w:hint="eastAsia" w:ascii="Times New Roman" w:hAnsi="Times New Roman" w:eastAsia="宋体" w:cs="宋体"/>
          <w:b w:val="0"/>
          <w:bCs/>
          <w:color w:val="auto"/>
          <w:sz w:val="24"/>
          <w:szCs w:val="24"/>
          <w:highlight w:val="none"/>
          <w:lang w:eastAsia="zh-CN"/>
        </w:rPr>
        <w:t>及</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虽存在事故风险的可能性，但建设单位只要按照设计要求严格施工，并认真执行评价所提出的各项综合风险防范措施，可把事故发生的概率降至最低，采取有效的风险应急预案，对项目工程风险事故的环境影响控制在可接受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eastAsia="zh-CN"/>
        </w:rPr>
      </w:pPr>
    </w:p>
    <w:p>
      <w:pPr>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yellow"/>
          <w:lang w:val="en-US" w:eastAsia="zh-CN"/>
        </w:rPr>
        <w:br w:type="page"/>
      </w: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b/>
          <w:bCs w:val="0"/>
          <w:color w:val="auto"/>
          <w:sz w:val="36"/>
          <w:szCs w:val="30"/>
          <w:highlight w:val="none"/>
          <w:lang w:val="en-US" w:eastAsia="zh-CN"/>
        </w:rPr>
      </w:pPr>
      <w:bookmarkStart w:id="321" w:name="_Toc22428"/>
      <w:r>
        <w:rPr>
          <w:rFonts w:hint="eastAsia" w:ascii="Times New Roman" w:hAnsi="Times New Roman"/>
          <w:b/>
          <w:bCs w:val="0"/>
          <w:color w:val="auto"/>
          <w:sz w:val="36"/>
          <w:szCs w:val="30"/>
          <w:highlight w:val="none"/>
          <w:lang w:val="en-US" w:eastAsia="zh-CN"/>
        </w:rPr>
        <w:t>7</w:t>
      </w:r>
      <w:r>
        <w:rPr>
          <w:rFonts w:hint="eastAsia" w:ascii="Times New Roman" w:hAnsi="Times New Roman"/>
          <w:b/>
          <w:bCs w:val="0"/>
          <w:color w:val="auto"/>
          <w:sz w:val="36"/>
          <w:szCs w:val="30"/>
          <w:highlight w:val="none"/>
          <w:lang w:val="en-US" w:eastAsia="zh-CN"/>
        </w:rPr>
        <w:tab/>
      </w:r>
      <w:r>
        <w:rPr>
          <w:rFonts w:hint="eastAsia" w:ascii="Times New Roman" w:hAnsi="Times New Roman"/>
          <w:b/>
          <w:bCs w:val="0"/>
          <w:color w:val="auto"/>
          <w:sz w:val="36"/>
          <w:szCs w:val="30"/>
          <w:highlight w:val="none"/>
          <w:lang w:val="en-US" w:eastAsia="zh-CN"/>
        </w:rPr>
        <w:t>环境保护措施及其可行性论证</w:t>
      </w:r>
      <w:bookmarkEnd w:id="321"/>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22" w:name="_bookmark111"/>
      <w:bookmarkEnd w:id="322"/>
      <w:bookmarkStart w:id="323" w:name="6.1施工期污染防治措施"/>
      <w:bookmarkEnd w:id="323"/>
      <w:bookmarkStart w:id="324" w:name="_Toc104"/>
      <w:r>
        <w:rPr>
          <w:rFonts w:hint="eastAsia" w:ascii="Times New Roman" w:hAnsi="Times New Roman" w:eastAsia="宋体"/>
          <w:b/>
          <w:bCs w:val="0"/>
          <w:color w:val="auto"/>
          <w:highlight w:val="none"/>
          <w:lang w:val="en-US" w:eastAsia="zh-CN"/>
        </w:rPr>
        <w:t>7.1 施工期污染防治措施</w:t>
      </w:r>
      <w:bookmarkEnd w:id="324"/>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25" w:name="6.1.1施工期大气污染防治措施"/>
      <w:bookmarkEnd w:id="325"/>
      <w:bookmarkStart w:id="326" w:name="_bookmark112"/>
      <w:bookmarkEnd w:id="326"/>
      <w:bookmarkStart w:id="327" w:name="_Toc11286"/>
      <w:r>
        <w:rPr>
          <w:rFonts w:hint="eastAsia" w:ascii="Times New Roman" w:hAnsi="Times New Roman" w:eastAsia="宋体"/>
          <w:b/>
          <w:bCs w:val="0"/>
          <w:color w:val="auto"/>
          <w:sz w:val="30"/>
          <w:szCs w:val="30"/>
          <w:highlight w:val="none"/>
          <w:lang w:val="en-US" w:eastAsia="zh-CN"/>
        </w:rPr>
        <w:t>7.1.1 施工期大气污染防治措施</w:t>
      </w:r>
      <w:bookmarkEnd w:id="32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施工期间扬尘影响范围较小，重污染带位于办公生活施工场地及运输道路施工场地内，建设单位采取以下措施以减轻其影响：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（1）合理安排工期，在大风季节尽量减少土石方开挖等对土层扰动大的作业，以减轻扬尘影响。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（2）施工场地定期洒水，防止扬尘产生，有风日加大洒水量及洒水次数；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（3）散装物料装卸应尽可能降低落差、轻装慢卸，车辆上应覆盖篷布；车辆出工地前应尽可能清除表面粘附的泥土等。散装易起尘物料应尽可能避免露天堆放，若露天堆放应加以覆盖。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（4）运输车辆进入施工场地应低速或限速行驶，减少产尘量；施工场地内运输通道及时清扫、洒水，以减少汽车行驶扬尘；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（5）运输车辆经过村庄时要求减速慢行。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（6）临时性用地使用完毕后应恢复植被，防止扬尘、水土流失。 项目施工期采取上述措施后，可显著减轻施工活动对环境空气质量带来的不良影响。而且随着工程施工活动的结束，施工期对大气环境的影响也随之消失。</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28" w:name="_bookmark113"/>
      <w:bookmarkEnd w:id="328"/>
      <w:bookmarkStart w:id="329" w:name="6.1.2施工期水污染防治措施"/>
      <w:bookmarkEnd w:id="329"/>
      <w:bookmarkStart w:id="330" w:name="_Toc4363"/>
      <w:r>
        <w:rPr>
          <w:rFonts w:hint="eastAsia" w:ascii="Times New Roman" w:hAnsi="Times New Roman" w:eastAsia="宋体"/>
          <w:b/>
          <w:bCs w:val="0"/>
          <w:color w:val="auto"/>
          <w:sz w:val="30"/>
          <w:szCs w:val="30"/>
          <w:highlight w:val="none"/>
          <w:lang w:val="en-US" w:eastAsia="zh-CN"/>
        </w:rPr>
        <w:t>7.1.2 施工期水污染防治措施</w:t>
      </w:r>
      <w:bookmarkEnd w:id="330"/>
      <w:r>
        <w:rPr>
          <w:rFonts w:hint="eastAsia" w:ascii="Times New Roman" w:hAnsi="Times New Roman" w:eastAsia="宋体"/>
          <w:b/>
          <w:bCs w:val="0"/>
          <w:color w:val="auto"/>
          <w:sz w:val="30"/>
          <w:szCs w:val="30"/>
          <w:highlight w:val="none"/>
          <w:lang w:val="en-US" w:eastAsia="zh-CN"/>
        </w:rPr>
        <w:t xml:space="preserve">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针对本项目施工过程中产生的废水，施工单位采取以下防治措施：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（1）施工废水集中收集，经沉淀处理后回用于洒水抑尘等作业环节。</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（2）施工人员生活污水依托生活区现有卫生设施，生活污水经化粪池处理后定期委托第三方拉运。</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（3）水泥、黄砂、石灰类等建筑材料需集中堆放，并采取一定的防雨水冲刷措施。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（4）严禁各废水未经处理直接外排，对各污水处理设施采取防渗等措施，避免对地下水造成影响。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针对施工机械冲洗水、施工废水、施工生活污水分别采取措施后，各废水均能得到有效处理，项目施工期不排放污水，全部回收利用，对矿区周边水环境基本没有影响，技术可行，经济合理。</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31" w:name="6.1.3施工期噪声污染防治措施"/>
      <w:bookmarkEnd w:id="331"/>
      <w:bookmarkStart w:id="332" w:name="_bookmark114"/>
      <w:bookmarkEnd w:id="332"/>
      <w:bookmarkStart w:id="333" w:name="_Toc23457"/>
      <w:r>
        <w:rPr>
          <w:rFonts w:hint="eastAsia" w:ascii="Times New Roman" w:hAnsi="Times New Roman" w:eastAsia="宋体"/>
          <w:b/>
          <w:bCs w:val="0"/>
          <w:color w:val="auto"/>
          <w:sz w:val="30"/>
          <w:szCs w:val="30"/>
          <w:highlight w:val="none"/>
          <w:lang w:val="en-US" w:eastAsia="zh-CN"/>
        </w:rPr>
        <w:t>7.1.3 施工期噪声污染防治措施</w:t>
      </w:r>
      <w:bookmarkEnd w:id="333"/>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为了满足《建筑施工场界环境噪声排放标准》（GB12523-2011）要求，本工程施工中必须采取如下噪声防治措施：</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（1）合理安排施工时段，合理布局施工场地，夜间禁止施工。施工时，避免大量噪声设备同时使用。</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2）选用低噪声设备，多种措施降噪。如固定机械设备与挖土、运土机构，如挖土机、推土机等，通过消音器和隔离发动机振动部件的方法降低噪声；空压机、发电机等高噪声设备，采用固定式或活动式隔声罩或隔声屏障进行局部遮挡。加强对设备的维护、养护，闲置设备应立即关闭。对于位置固定的机械设备，如不能在操作间工作的，可适当建立临时单面声屏障。</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3）加强施工管理，降低人为噪声影响。加强施工期间的车辆、人员调度和管理，按操作规范操作机械设备等过程中减少碰撞噪声，并对工人进行环保方面的教育。在装卸进程中，禁止野蛮作业，减少作业噪声。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（4）加强车辆管理，多种措施防治施工交通噪声，减少影响。本项目在施工期间，交通车辆产生的噪声会对沿途村民产生一定的噪声影响，因此需要采取多种措施防治施工交通噪声。</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①尽量减少夜间运输，减少鸣笛；</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②适当限制大型载重车的车速，尤其进入噪声敏感区时应限速；</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③对运输车辆定期维修、养护。</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5）加强协调与沟通，取得理解。对施工场地噪声除采取上述噪声措施外，还应与周围及运输路线沿途村庄居民加强协调和沟通，建立良好关系。此外，施工期间应设热线投诉电话，接受噪音扰民投诉，并对投诉情况进行积极治理或更严格地限制作业时间。</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采取上述措施后，预计可将施工期噪声对环境的影响降至最低程度。</w:t>
      </w:r>
      <w:bookmarkStart w:id="334" w:name="_bookmark115"/>
      <w:bookmarkEnd w:id="334"/>
      <w:bookmarkStart w:id="335" w:name="6.1.4施工期固废污染防治措施"/>
      <w:bookmarkEnd w:id="335"/>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36" w:name="_Toc15146"/>
      <w:r>
        <w:rPr>
          <w:rFonts w:hint="eastAsia" w:ascii="Times New Roman" w:hAnsi="Times New Roman" w:eastAsia="宋体"/>
          <w:b/>
          <w:bCs w:val="0"/>
          <w:color w:val="auto"/>
          <w:sz w:val="30"/>
          <w:szCs w:val="30"/>
          <w:highlight w:val="none"/>
          <w:lang w:val="en-US" w:eastAsia="zh-CN"/>
        </w:rPr>
        <w:t>7.1.4 施工期固废污染防治措施</w:t>
      </w:r>
      <w:bookmarkEnd w:id="336"/>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施工单位在一定要做到文明施工，工程结束后将固体废弃物规划运输，送至指定地点处理，不得随意倾倒，具体防治措施如下：</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（1）施工期产生的掘进废石存放于废石临时堆场。</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（2）建筑垃圾应在指定的堆放点存放，钢筋等材料可回收利用，其它垃圾采用封闭式废土运输车及时清运，并送到当地环保部门指定倾倒点处置，不能随意抛弃、转移和扩散。</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（3）施工人员的生活垃圾及时收集到场内指定的垃圾箱（筒）内，按当地环卫部门的要求统一清运集中处置。</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本项目施工固废处理措施合理可行，各固体废物均能得到妥善处置。</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37" w:name="6.1.5施工期生态保护措施"/>
      <w:bookmarkEnd w:id="337"/>
      <w:bookmarkStart w:id="338" w:name="_bookmark116"/>
      <w:bookmarkEnd w:id="338"/>
      <w:bookmarkStart w:id="339" w:name="_Toc7073"/>
      <w:r>
        <w:rPr>
          <w:rFonts w:hint="eastAsia" w:ascii="Times New Roman" w:hAnsi="Times New Roman" w:eastAsia="宋体"/>
          <w:b/>
          <w:bCs w:val="0"/>
          <w:color w:val="auto"/>
          <w:sz w:val="30"/>
          <w:szCs w:val="30"/>
          <w:highlight w:val="none"/>
          <w:lang w:val="en-US" w:eastAsia="zh-CN"/>
        </w:rPr>
        <w:t>7.1.5 施工期生态保护措施</w:t>
      </w:r>
      <w:bookmarkEnd w:id="339"/>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施工期对当地生态环境的破坏主要表现在土建施工时对土地扰动作用，造成地貌的 改变、植被的破坏、短期内使水土流失加剧，对局部生态环境有不利影响。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环评提出的防治措施：</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（1）植被的保护与恢复措施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施工时应采取尽量少占地、少破坏植被的原则，各施工活动应严格控制在施工区域内进行，规范行车路线，严禁随意碾压植被。以免造成周围植被、土壤的大面积破坏和干扰动物的栖息环境。充分利用矿区现有库房、职工宿舍等资源，减少临时工棚，料场等的建设。</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②不准随意砍伐、破坏树木和植被，不准乱挖、滥采野生植被，不准随便破坏动物巢穴，减少对生态环境的影响。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③对于临时占地等破坏区，项目建设结束后应进行植被恢复。凡受到施工车辆、机械破坏的地方均要进行土地平整、耕翻疏松（要求深翻表土 30～40cm），并在适当季节进行种草工作，保持地表原有的稳定状态。</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④土石方运输要严格遵守作业制度，采用车况良好的斗车，避免过量装料，防止松散土石料的散落，减少水土流失。</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（2）水土流失的防治对策措施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①在地面施工过程中，应避免在大风季节以及暴雨时节作业。对施工破坏区，施工完毕，要及时平整土地，并种植适宜的植物，以防止发生新的水土流失。</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②施工期应先建设排水设施，将雨水及时排走，避免在场地形成水漫流，导致水土流失增加。</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③对于施工过程中产生的弃土全部用于现有生态环境问题治理过程覆土碾压、生态 恢复覆土，不外排；建筑垃圾应在指定的堆放点存放，钢筋等材料可回收利用，不可利用部分采用封闭式废土运输车及时清运至当地环卫部门指定地点；生活垃圾集中收集，按照当地环卫部门要求统一处理。</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④加强施工人员的各类卫生管理，避免生活污水的直接排放，减少水体污染，最大限度保护动物生境。</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⑤禁止在工程征地范围外、植被良好的地区进行取土石活动，以减少水土流失损坏面积。</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采取上述措施后可显著减轻施工期对生态环境的影响，措施可行。</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40" w:name="6.2运营期污染防治措施及其可行性分析"/>
      <w:bookmarkEnd w:id="340"/>
      <w:bookmarkStart w:id="341" w:name="_bookmark117"/>
      <w:bookmarkEnd w:id="341"/>
      <w:bookmarkStart w:id="342" w:name="_Toc1595"/>
      <w:r>
        <w:rPr>
          <w:rFonts w:hint="eastAsia" w:ascii="Times New Roman" w:hAnsi="Times New Roman" w:eastAsia="宋体"/>
          <w:b/>
          <w:bCs w:val="0"/>
          <w:color w:val="auto"/>
          <w:highlight w:val="none"/>
          <w:lang w:val="en-US" w:eastAsia="zh-CN"/>
        </w:rPr>
        <w:t>7.2 运营期污染防治措施及其可行性分析</w:t>
      </w:r>
      <w:bookmarkEnd w:id="342"/>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43" w:name="6.2.1大气污染防治措施及其可行性分析"/>
      <w:bookmarkEnd w:id="343"/>
      <w:bookmarkStart w:id="344" w:name="_bookmark118"/>
      <w:bookmarkEnd w:id="344"/>
      <w:bookmarkStart w:id="345" w:name="_Toc22077"/>
      <w:r>
        <w:rPr>
          <w:rFonts w:hint="eastAsia" w:ascii="Times New Roman" w:hAnsi="Times New Roman" w:eastAsia="宋体"/>
          <w:b/>
          <w:bCs w:val="0"/>
          <w:color w:val="auto"/>
          <w:sz w:val="30"/>
          <w:szCs w:val="30"/>
          <w:highlight w:val="none"/>
          <w:lang w:val="en-US" w:eastAsia="zh-CN"/>
        </w:rPr>
        <w:t>7.2.1 大气污染防治措施及其可行性分析</w:t>
      </w:r>
      <w:bookmarkEnd w:id="345"/>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46" w:name="6.2.1.1井下作业粉尘大气污染防治措施"/>
      <w:bookmarkEnd w:id="346"/>
      <w:r>
        <w:rPr>
          <w:rFonts w:hint="eastAsia" w:ascii="Times New Roman" w:hAnsi="Times New Roman" w:eastAsia="宋体" w:cs="宋体"/>
          <w:b/>
          <w:bCs w:val="0"/>
          <w:color w:val="auto"/>
          <w:sz w:val="24"/>
          <w:szCs w:val="24"/>
          <w:highlight w:val="none"/>
          <w:lang w:val="en-US" w:eastAsia="zh-CN"/>
        </w:rPr>
        <w:t>7.2.1.1 露天采场原料砂装卸及堆存粉尘大气污染防治措施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（1）</w:t>
      </w:r>
      <w:r>
        <w:rPr>
          <w:rFonts w:hint="eastAsia" w:eastAsia="宋体" w:cs="宋体"/>
          <w:b w:val="0"/>
          <w:bCs/>
          <w:color w:val="auto"/>
          <w:sz w:val="24"/>
          <w:szCs w:val="24"/>
          <w:highlight w:val="none"/>
          <w:lang w:val="en-US" w:eastAsia="zh-CN"/>
        </w:rPr>
        <w:t>开采面</w:t>
      </w:r>
      <w:r>
        <w:rPr>
          <w:rFonts w:hint="eastAsia" w:eastAsia="宋体"/>
          <w:color w:val="auto"/>
          <w:highlight w:val="none"/>
          <w:lang w:val="en-US" w:eastAsia="zh-CN"/>
        </w:rPr>
        <w:t>采取雾炮降尘、降低作业面、大风天气停止作业等措施。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val="en-US" w:eastAsia="zh-CN"/>
        </w:rPr>
        <w:t>）矿石装车前进行洒水抑尘，规范装车作业，防止</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val="en-US" w:eastAsia="zh-CN"/>
        </w:rPr>
        <w:t>随意洒落，降低扬尘产生量，减少对环境影响。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47" w:name="6.2.1.2原矿临时堆场扬尘防治措施"/>
      <w:bookmarkEnd w:id="347"/>
      <w:r>
        <w:rPr>
          <w:rFonts w:hint="eastAsia" w:ascii="Times New Roman" w:hAnsi="Times New Roman" w:eastAsia="宋体" w:cs="宋体"/>
          <w:b/>
          <w:bCs w:val="0"/>
          <w:color w:val="auto"/>
          <w:sz w:val="24"/>
          <w:szCs w:val="24"/>
          <w:highlight w:val="none"/>
          <w:lang w:val="en-US" w:eastAsia="zh-CN"/>
        </w:rPr>
        <w:t xml:space="preserve">7.2.1.2 </w:t>
      </w:r>
      <w:r>
        <w:rPr>
          <w:rFonts w:hint="eastAsia" w:eastAsia="宋体" w:cs="宋体"/>
          <w:b/>
          <w:bCs w:val="0"/>
          <w:color w:val="auto"/>
          <w:sz w:val="24"/>
          <w:szCs w:val="24"/>
          <w:highlight w:val="none"/>
          <w:lang w:val="en-US" w:eastAsia="zh-CN"/>
        </w:rPr>
        <w:t>成品</w:t>
      </w:r>
      <w:r>
        <w:rPr>
          <w:rFonts w:hint="eastAsia" w:ascii="Times New Roman" w:hAnsi="Times New Roman" w:eastAsia="宋体" w:cs="宋体"/>
          <w:b/>
          <w:bCs w:val="0"/>
          <w:color w:val="auto"/>
          <w:sz w:val="24"/>
          <w:szCs w:val="24"/>
          <w:highlight w:val="none"/>
          <w:lang w:val="en-US" w:eastAsia="zh-CN"/>
        </w:rPr>
        <w:t xml:space="preserve">堆场扬尘防治措施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w:t>
      </w:r>
      <w:r>
        <w:rPr>
          <w:rFonts w:hint="eastAsia" w:eastAsia="宋体" w:cs="宋体"/>
          <w:b w:val="0"/>
          <w:bCs/>
          <w:color w:val="auto"/>
          <w:sz w:val="24"/>
          <w:szCs w:val="24"/>
          <w:highlight w:val="none"/>
          <w:lang w:val="en-US" w:eastAsia="zh-CN"/>
        </w:rPr>
        <w:t>水洗后砂料含水量较高，于成品堆场临时堆放，</w:t>
      </w:r>
      <w:r>
        <w:rPr>
          <w:rFonts w:hint="eastAsia" w:ascii="Times New Roman" w:hAnsi="Times New Roman" w:eastAsia="宋体" w:cs="宋体"/>
          <w:b w:val="0"/>
          <w:bCs/>
          <w:color w:val="auto"/>
          <w:sz w:val="24"/>
          <w:szCs w:val="24"/>
          <w:highlight w:val="none"/>
          <w:lang w:val="en-US" w:eastAsia="zh-CN"/>
        </w:rPr>
        <w:t>起尘量较少，</w:t>
      </w:r>
      <w:r>
        <w:rPr>
          <w:rFonts w:hint="eastAsia" w:eastAsia="宋体" w:cs="宋体"/>
          <w:b w:val="0"/>
          <w:bCs/>
          <w:color w:val="auto"/>
          <w:sz w:val="24"/>
          <w:szCs w:val="24"/>
          <w:highlight w:val="none"/>
          <w:lang w:val="en-US" w:eastAsia="zh-CN"/>
        </w:rPr>
        <w:t>表面采用苫布苫盖，减少堆存时间等措施来</w:t>
      </w:r>
      <w:r>
        <w:rPr>
          <w:rFonts w:hint="eastAsia" w:ascii="Times New Roman" w:hAnsi="Times New Roman" w:eastAsia="宋体" w:cs="宋体"/>
          <w:b w:val="0"/>
          <w:bCs/>
          <w:color w:val="auto"/>
          <w:sz w:val="24"/>
          <w:szCs w:val="24"/>
          <w:highlight w:val="none"/>
          <w:lang w:val="en-US" w:eastAsia="zh-CN"/>
        </w:rPr>
        <w:t>减少其对环境影响。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48" w:name="6.2.1.3废石临时堆场防治措施"/>
      <w:bookmarkEnd w:id="348"/>
      <w:bookmarkStart w:id="349" w:name="6.2.1.4矿石转运大气污染防治措施"/>
      <w:bookmarkEnd w:id="349"/>
      <w:r>
        <w:rPr>
          <w:rFonts w:hint="eastAsia" w:ascii="Times New Roman" w:hAnsi="Times New Roman" w:eastAsia="宋体" w:cs="宋体"/>
          <w:b/>
          <w:bCs w:val="0"/>
          <w:color w:val="auto"/>
          <w:sz w:val="24"/>
          <w:szCs w:val="24"/>
          <w:highlight w:val="none"/>
          <w:lang w:val="en-US" w:eastAsia="zh-CN"/>
        </w:rPr>
        <w:t>7.2.1.</w:t>
      </w:r>
      <w:r>
        <w:rPr>
          <w:rFonts w:hint="eastAsia" w:eastAsia="宋体" w:cs="宋体"/>
          <w:b/>
          <w:bCs w:val="0"/>
          <w:color w:val="auto"/>
          <w:sz w:val="24"/>
          <w:szCs w:val="24"/>
          <w:highlight w:val="none"/>
          <w:lang w:val="en-US" w:eastAsia="zh-CN"/>
        </w:rPr>
        <w:t>3</w:t>
      </w:r>
      <w:r>
        <w:rPr>
          <w:rFonts w:hint="eastAsia" w:ascii="Times New Roman" w:hAnsi="Times New Roman" w:eastAsia="宋体" w:cs="宋体"/>
          <w:b/>
          <w:bCs w:val="0"/>
          <w:color w:val="auto"/>
          <w:sz w:val="24"/>
          <w:szCs w:val="24"/>
          <w:highlight w:val="none"/>
          <w:lang w:val="en-US" w:eastAsia="zh-CN"/>
        </w:rPr>
        <w:t xml:space="preserve"> 矿石转运大气污染防治措施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挖掘机将</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val="en-US" w:eastAsia="zh-CN"/>
        </w:rPr>
        <w:t>装入自卸车将会产生一定量的扬尘，</w:t>
      </w:r>
      <w:r>
        <w:rPr>
          <w:rFonts w:hint="eastAsia" w:eastAsia="宋体" w:cs="宋体"/>
          <w:b w:val="0"/>
          <w:bCs/>
          <w:color w:val="auto"/>
          <w:sz w:val="24"/>
          <w:szCs w:val="24"/>
          <w:highlight w:val="none"/>
          <w:lang w:val="en-US" w:eastAsia="zh-CN"/>
        </w:rPr>
        <w:t>通过对砂料</w:t>
      </w:r>
      <w:r>
        <w:rPr>
          <w:rFonts w:hint="eastAsia" w:ascii="Times New Roman" w:hAnsi="Times New Roman" w:eastAsia="宋体" w:cs="宋体"/>
          <w:b w:val="0"/>
          <w:bCs/>
          <w:color w:val="auto"/>
          <w:sz w:val="24"/>
          <w:szCs w:val="24"/>
          <w:highlight w:val="none"/>
          <w:lang w:val="en-US" w:eastAsia="zh-CN"/>
        </w:rPr>
        <w:t>洒水</w:t>
      </w:r>
      <w:r>
        <w:rPr>
          <w:rFonts w:hint="eastAsia" w:eastAsia="宋体" w:cs="宋体"/>
          <w:b w:val="0"/>
          <w:bCs/>
          <w:color w:val="auto"/>
          <w:sz w:val="24"/>
          <w:szCs w:val="24"/>
          <w:highlight w:val="none"/>
          <w:lang w:val="en-US" w:eastAsia="zh-CN"/>
        </w:rPr>
        <w:t>增加砂料湿度来</w:t>
      </w:r>
      <w:r>
        <w:rPr>
          <w:rFonts w:hint="eastAsia" w:ascii="Times New Roman" w:hAnsi="Times New Roman" w:eastAsia="宋体" w:cs="宋体"/>
          <w:b w:val="0"/>
          <w:bCs/>
          <w:color w:val="auto"/>
          <w:sz w:val="24"/>
          <w:szCs w:val="24"/>
          <w:highlight w:val="none"/>
          <w:lang w:val="en-US" w:eastAsia="zh-CN"/>
        </w:rPr>
        <w:t>抑尘，可有效降低扬尘产生，减少对环境影响。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7.2.1.4 回填区大气污染防治措施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采坑1回填区作为优先回填区，通过控制作业面、降低作业高度、对回填的物料尽快压实、大风天气禁止作业以及洒水抑尘的措施，减少粉尘产生量，且回填区主要回填的物料为废弃石子和脱水底泥，均不易起尘。</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7.2.1.5筛分工序大气污染防治措施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FF0000"/>
          <w:sz w:val="24"/>
          <w:szCs w:val="24"/>
          <w:highlight w:val="none"/>
          <w:lang w:val="en-US" w:eastAsia="zh-CN"/>
        </w:rPr>
        <w:t>筛分工序通过</w:t>
      </w:r>
      <w:r>
        <w:rPr>
          <w:rFonts w:hint="eastAsia" w:eastAsia="宋体"/>
          <w:color w:val="FF0000"/>
          <w:highlight w:val="none"/>
          <w:lang w:val="en-US" w:eastAsia="zh-CN"/>
        </w:rPr>
        <w:t>采取雾炮降尘、降低作业面、大风天气停止作业等措施，</w:t>
      </w:r>
      <w:r>
        <w:rPr>
          <w:rFonts w:hint="eastAsia" w:ascii="Times New Roman" w:hAnsi="Times New Roman" w:eastAsia="宋体" w:cs="宋体"/>
          <w:b w:val="0"/>
          <w:bCs/>
          <w:color w:val="FF0000"/>
          <w:sz w:val="24"/>
          <w:szCs w:val="24"/>
          <w:highlight w:val="none"/>
          <w:lang w:val="en-US" w:eastAsia="zh-CN"/>
        </w:rPr>
        <w:t>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50" w:name="6.2.1.5运输道路大气污染防治措施"/>
      <w:bookmarkEnd w:id="350"/>
      <w:r>
        <w:rPr>
          <w:rFonts w:hint="eastAsia" w:ascii="Times New Roman" w:hAnsi="Times New Roman" w:eastAsia="宋体" w:cs="宋体"/>
          <w:b/>
          <w:bCs w:val="0"/>
          <w:color w:val="auto"/>
          <w:sz w:val="24"/>
          <w:szCs w:val="24"/>
          <w:highlight w:val="none"/>
          <w:lang w:val="en-US" w:eastAsia="zh-CN"/>
        </w:rPr>
        <w:t>7.2.1.</w:t>
      </w:r>
      <w:r>
        <w:rPr>
          <w:rFonts w:hint="eastAsia"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val="en-US" w:eastAsia="zh-CN"/>
        </w:rPr>
        <w:t xml:space="preserve"> 运输道路大气污染防治措施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内部运输路段为砂石路，在大风天气对内部道路进行洒水抑尘和清扫路面，降低扬尘产生量，同时对运输车辆加盖苫布、车辆减速慢行等措施后，扬尘排放量将会大幅度减小，对周边环境影响也会降低。</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51" w:name="6.2.1.6大气污染防治措施可行性分析"/>
      <w:bookmarkEnd w:id="351"/>
      <w:r>
        <w:rPr>
          <w:rFonts w:hint="eastAsia" w:ascii="Times New Roman" w:hAnsi="Times New Roman" w:eastAsia="宋体" w:cs="宋体"/>
          <w:b/>
          <w:bCs w:val="0"/>
          <w:color w:val="auto"/>
          <w:sz w:val="24"/>
          <w:szCs w:val="24"/>
          <w:highlight w:val="none"/>
          <w:lang w:val="en-US" w:eastAsia="zh-CN"/>
        </w:rPr>
        <w:t>7.2.1.</w:t>
      </w:r>
      <w:r>
        <w:rPr>
          <w:rFonts w:hint="eastAsia" w:eastAsia="宋体" w:cs="宋体"/>
          <w:b/>
          <w:bCs w:val="0"/>
          <w:color w:val="auto"/>
          <w:sz w:val="24"/>
          <w:szCs w:val="24"/>
          <w:highlight w:val="none"/>
          <w:lang w:val="en-US" w:eastAsia="zh-CN"/>
        </w:rPr>
        <w:t>7</w:t>
      </w:r>
      <w:r>
        <w:rPr>
          <w:rFonts w:hint="eastAsia" w:ascii="Times New Roman" w:hAnsi="Times New Roman" w:eastAsia="宋体" w:cs="宋体"/>
          <w:b/>
          <w:bCs w:val="0"/>
          <w:color w:val="auto"/>
          <w:sz w:val="24"/>
          <w:szCs w:val="24"/>
          <w:highlight w:val="none"/>
          <w:lang w:val="en-US" w:eastAsia="zh-CN"/>
        </w:rPr>
        <w:t xml:space="preserve"> 大气污染防治措施可行性分析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采取规范采矿作业、对采场洒水抑尘等措施后，粉尘达标排放，对周边环境基本无影响；</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堆场及</w:t>
      </w:r>
      <w:r>
        <w:rPr>
          <w:rFonts w:hint="eastAsia" w:eastAsia="宋体" w:cs="宋体"/>
          <w:b w:val="0"/>
          <w:bCs/>
          <w:color w:val="auto"/>
          <w:sz w:val="24"/>
          <w:szCs w:val="24"/>
          <w:highlight w:val="none"/>
          <w:lang w:val="en-US" w:eastAsia="zh-CN"/>
        </w:rPr>
        <w:t>表土</w:t>
      </w:r>
      <w:r>
        <w:rPr>
          <w:rFonts w:hint="eastAsia" w:ascii="Times New Roman" w:hAnsi="Times New Roman" w:eastAsia="宋体" w:cs="宋体"/>
          <w:b w:val="0"/>
          <w:bCs/>
          <w:color w:val="auto"/>
          <w:sz w:val="24"/>
          <w:szCs w:val="24"/>
          <w:highlight w:val="none"/>
          <w:lang w:val="en-US" w:eastAsia="zh-CN"/>
        </w:rPr>
        <w:t>临时堆场采取洒水抑尘措施后，起尘量较小，对环境影响轻微。运输环节产生的扬尘量较低，对周边环境影响轻微。由此可见，本环评提出的大气污染物防治措施可行。</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52" w:name="_bookmark119"/>
      <w:bookmarkEnd w:id="352"/>
      <w:bookmarkStart w:id="353" w:name="6.2.2水污染防治措施及其可行性分析"/>
      <w:bookmarkEnd w:id="353"/>
      <w:bookmarkStart w:id="354" w:name="_Toc31783"/>
      <w:r>
        <w:rPr>
          <w:rFonts w:hint="eastAsia" w:ascii="Times New Roman" w:hAnsi="Times New Roman" w:eastAsia="宋体"/>
          <w:b/>
          <w:bCs w:val="0"/>
          <w:color w:val="auto"/>
          <w:sz w:val="30"/>
          <w:szCs w:val="30"/>
          <w:highlight w:val="none"/>
          <w:lang w:val="en-US" w:eastAsia="zh-CN"/>
        </w:rPr>
        <w:t>7.2.2 水污染防治措施及其可行性分析</w:t>
      </w:r>
      <w:bookmarkEnd w:id="35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auto"/>
          <w:highlight w:val="none"/>
        </w:rPr>
        <w:t>本项目废水</w:t>
      </w:r>
      <w:r>
        <w:rPr>
          <w:rFonts w:hint="eastAsia" w:ascii="Times New Roman" w:hAnsi="Times New Roman" w:eastAsia="宋体"/>
          <w:color w:val="000000" w:themeColor="text1"/>
          <w:highlight w:val="none"/>
          <w14:textFill>
            <w14:solidFill>
              <w14:schemeClr w14:val="tx1"/>
            </w14:solidFill>
          </w14:textFill>
        </w:rPr>
        <w:t>污染源为</w:t>
      </w:r>
      <w:r>
        <w:rPr>
          <w:rFonts w:hint="eastAsia" w:eastAsia="宋体"/>
          <w:color w:val="000000" w:themeColor="text1"/>
          <w:highlight w:val="none"/>
          <w:lang w:val="en-US" w:eastAsia="zh-CN"/>
          <w14:textFill>
            <w14:solidFill>
              <w14:schemeClr w14:val="tx1"/>
            </w14:solidFill>
          </w14:textFill>
        </w:rPr>
        <w:t>洗砂废水及</w:t>
      </w:r>
      <w:r>
        <w:rPr>
          <w:rFonts w:hint="eastAsia" w:ascii="Times New Roman" w:hAnsi="Times New Roman" w:eastAsia="宋体"/>
          <w:color w:val="000000" w:themeColor="text1"/>
          <w:highlight w:val="none"/>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洗砂废水</w:t>
      </w:r>
    </w:p>
    <w:p>
      <w:pPr>
        <w:adjustRightInd w:val="0"/>
        <w:snapToGrid w:val="0"/>
        <w:spacing w:line="360" w:lineRule="auto"/>
        <w:ind w:firstLine="480" w:firstLineChars="200"/>
        <w:rPr>
          <w:rFonts w:hint="default" w:ascii="Times New Roman" w:hAnsi="Times New Roman" w:eastAsia="宋体"/>
          <w:color w:val="000000" w:themeColor="text1"/>
          <w:sz w:val="24"/>
          <w:szCs w:val="24"/>
          <w:highlight w:val="yellow"/>
          <w:lang w:val="en-US"/>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根据本项目工程</w:t>
      </w:r>
      <w:r>
        <w:rPr>
          <w:rFonts w:hint="eastAsia" w:ascii="Times New Roman" w:hAnsi="Times New Roman" w:eastAsia="宋体"/>
          <w:bCs/>
          <w:sz w:val="24"/>
          <w:szCs w:val="24"/>
          <w:highlight w:val="none"/>
        </w:rPr>
        <w:t>分析结果，该项目</w:t>
      </w:r>
      <w:r>
        <w:rPr>
          <w:rFonts w:hint="eastAsia" w:eastAsia="宋体"/>
          <w:b w:val="0"/>
          <w:bCs/>
          <w:color w:val="auto"/>
          <w:highlight w:val="none"/>
          <w:lang w:val="en-US" w:eastAsia="zh-CN"/>
        </w:rPr>
        <w:t>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生活污水</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eastAsia="宋体"/>
          <w:color w:val="auto"/>
          <w:highlight w:val="none"/>
          <w:lang w:val="en-US" w:eastAsia="zh-CN"/>
        </w:rPr>
        <w:t>使用</w:t>
      </w:r>
      <w:r>
        <w:rPr>
          <w:rFonts w:hint="eastAsia" w:ascii="Times New Roman" w:hAnsi="Times New Roman" w:eastAsia="宋体"/>
          <w:color w:val="auto"/>
          <w:highlight w:val="none"/>
        </w:rPr>
        <w:t>既有的</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w:t>
      </w:r>
      <w:r>
        <w:rPr>
          <w:rFonts w:hint="eastAsia" w:eastAsia="宋体"/>
          <w:color w:val="auto"/>
          <w:highlight w:val="none"/>
          <w:lang w:val="en-US" w:eastAsia="zh-CN"/>
        </w:rPr>
        <w:t>朱日和镇</w:t>
      </w:r>
      <w:r>
        <w:rPr>
          <w:rFonts w:hint="eastAsia" w:ascii="Times New Roman" w:hAnsi="Times New Roman" w:eastAsia="宋体"/>
          <w:color w:val="auto"/>
          <w:highlight w:val="none"/>
          <w:lang w:val="en-US" w:eastAsia="zh-CN"/>
        </w:rPr>
        <w:t>生活污水处理厂进行进一步处理</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55" w:name="6.2.3噪声防治措施及其可行性分析"/>
      <w:bookmarkEnd w:id="355"/>
      <w:bookmarkStart w:id="356" w:name="_bookmark120"/>
      <w:bookmarkEnd w:id="356"/>
      <w:bookmarkStart w:id="357" w:name="6.2.2.1矿井涌水"/>
      <w:bookmarkEnd w:id="357"/>
      <w:bookmarkStart w:id="358" w:name="_Toc30372"/>
      <w:r>
        <w:rPr>
          <w:rFonts w:hint="eastAsia" w:ascii="Times New Roman" w:hAnsi="Times New Roman" w:eastAsia="宋体"/>
          <w:b/>
          <w:bCs w:val="0"/>
          <w:color w:val="auto"/>
          <w:sz w:val="30"/>
          <w:szCs w:val="30"/>
          <w:highlight w:val="none"/>
          <w:lang w:val="en-US" w:eastAsia="zh-CN"/>
        </w:rPr>
        <w:t>7.2.3 噪声防治措施及其可行性分析</w:t>
      </w:r>
      <w:bookmarkEnd w:id="358"/>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59" w:name="6.2.3.1采矿噪声防治措施"/>
      <w:bookmarkEnd w:id="359"/>
      <w:r>
        <w:rPr>
          <w:rFonts w:hint="eastAsia" w:ascii="Times New Roman" w:hAnsi="Times New Roman" w:eastAsia="宋体" w:cs="宋体"/>
          <w:b/>
          <w:bCs w:val="0"/>
          <w:color w:val="auto"/>
          <w:sz w:val="24"/>
          <w:szCs w:val="24"/>
          <w:highlight w:val="none"/>
          <w:lang w:val="en-US" w:eastAsia="zh-CN"/>
        </w:rPr>
        <w:t xml:space="preserve">7.2.3.1 采矿噪声防治措施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采矿噪声主要是由于机械的撞击、摩擦、转动等而引起的机械性噪声以及由于气流的起伏运动或气体动力引起的空气动力性噪声，主要噪声源为</w:t>
      </w:r>
      <w:r>
        <w:rPr>
          <w:rFonts w:hint="eastAsia" w:eastAsia="宋体" w:cs="宋体"/>
          <w:b w:val="0"/>
          <w:bCs/>
          <w:color w:val="auto"/>
          <w:sz w:val="24"/>
          <w:szCs w:val="24"/>
          <w:highlight w:val="none"/>
          <w:lang w:val="en-US" w:eastAsia="zh-CN"/>
        </w:rPr>
        <w:t>挖掘机</w:t>
      </w:r>
      <w:r>
        <w:rPr>
          <w:rFonts w:hint="eastAsia" w:ascii="Times New Roman" w:hAnsi="Times New Roman" w:eastAsia="宋体" w:cs="宋体"/>
          <w:b w:val="0"/>
          <w:bCs/>
          <w:color w:val="auto"/>
          <w:sz w:val="24"/>
          <w:szCs w:val="24"/>
          <w:highlight w:val="none"/>
          <w:lang w:val="en-US" w:eastAsia="zh-CN"/>
        </w:rPr>
        <w:t>、物料</w:t>
      </w:r>
      <w:r>
        <w:rPr>
          <w:rFonts w:hint="eastAsia" w:eastAsia="宋体" w:cs="宋体"/>
          <w:b w:val="0"/>
          <w:bCs/>
          <w:color w:val="auto"/>
          <w:sz w:val="24"/>
          <w:szCs w:val="24"/>
          <w:highlight w:val="none"/>
          <w:lang w:val="en-US" w:eastAsia="zh-CN"/>
        </w:rPr>
        <w:t>运输、产装机械</w:t>
      </w:r>
      <w:r>
        <w:rPr>
          <w:rFonts w:hint="eastAsia" w:ascii="Times New Roman" w:hAnsi="Times New Roman" w:eastAsia="宋体" w:cs="宋体"/>
          <w:b w:val="0"/>
          <w:bCs/>
          <w:color w:val="auto"/>
          <w:sz w:val="24"/>
          <w:szCs w:val="24"/>
          <w:highlight w:val="none"/>
          <w:lang w:val="en-US" w:eastAsia="zh-CN"/>
        </w:rPr>
        <w:t>等。该工程对噪声的控制主要采取控制噪声源与隔断噪声传播途径相接合的办法，以控制噪声对周围环境的影响。为进一步防止高噪声设备对职工及周围环境的影响，针对本工程噪声源噪声强度大，连续生产等特点，评价从噪声源头、传播途径、防护对象三方面提出本工程的噪声防治措施，具体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合理选择机械设备，从声源上控制噪声级别应尽可能选择辐射噪声小、振动小的低噪声设备，同时也要选择有可能采取控制对策的设备，提高安装精度，从源头上控制噪声产生的级别；合理安排平面布置，高噪声设备应远离办公生活区，矿区路口等处设置限速、禁鸣标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（2）设置减噪隔振消声措施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对噪声的传播途径进行控制，</w:t>
      </w:r>
      <w:r>
        <w:rPr>
          <w:rFonts w:hint="eastAsia" w:eastAsia="宋体" w:cs="宋体"/>
          <w:b w:val="0"/>
          <w:bCs/>
          <w:color w:val="auto"/>
          <w:sz w:val="24"/>
          <w:szCs w:val="24"/>
          <w:highlight w:val="none"/>
          <w:lang w:val="en-US" w:eastAsia="zh-CN"/>
        </w:rPr>
        <w:t>采用</w:t>
      </w:r>
      <w:r>
        <w:rPr>
          <w:rFonts w:hint="eastAsia" w:ascii="Times New Roman" w:hAnsi="Times New Roman" w:eastAsia="宋体" w:cs="宋体"/>
          <w:b w:val="0"/>
          <w:bCs/>
          <w:color w:val="auto"/>
          <w:sz w:val="24"/>
          <w:szCs w:val="24"/>
          <w:highlight w:val="none"/>
          <w:lang w:val="en-US" w:eastAsia="zh-CN"/>
        </w:rPr>
        <w:t>柔性接头代替刚性接头。电机、泵类等因振动而产生噪声的设备，考虑安装橡胶减振垫、弹簧减振器隔振机座。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（3）重视绿化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重视绿化工作也是噪声防治的一项积极措施。绿化不仅可以美化环境，还可以阻滞噪声传播。本项目绿化重点是在办公区与工业场地之间、高噪声源厂房周围及厂界四周种植绿化隔离带。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 xml:space="preserve">）加强管理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在采取以上治理措施的基础上，还必须严格按照操作规程进行操作，定期对防噪设备进行维修、检查，使本工程对厂界声环境的影响降到最低。在对待交通噪声防治措施上，应加强管理，制定有关规章制度。在各敏感点处设立限速、禁鸣标志；在矿区内部运输道路两旁增加绿化带，可减少噪声传播，使噪声对沿线村庄影响降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对各类噪音设备均采取了行之有效的噪声防治措施，可以明显减少噪声对周围环境的影响。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0" w:name="6.2.3.2运输噪声防治措施"/>
      <w:bookmarkEnd w:id="360"/>
      <w:r>
        <w:rPr>
          <w:rFonts w:hint="eastAsia" w:ascii="Times New Roman" w:hAnsi="Times New Roman" w:eastAsia="宋体" w:cs="宋体"/>
          <w:b/>
          <w:bCs w:val="0"/>
          <w:color w:val="auto"/>
          <w:sz w:val="24"/>
          <w:szCs w:val="24"/>
          <w:highlight w:val="none"/>
          <w:lang w:val="en-US" w:eastAsia="zh-CN"/>
        </w:rPr>
        <w:t xml:space="preserve">7.2.3.2 运输噪声防治措施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矿石的运输要避开村民休息时间，运输时要使用大型专业车辆，不得使用噪声级较大的农用车；经过</w:t>
      </w:r>
      <w:r>
        <w:rPr>
          <w:rFonts w:hint="eastAsia" w:eastAsia="宋体" w:cs="宋体"/>
          <w:b w:val="0"/>
          <w:bCs/>
          <w:color w:val="auto"/>
          <w:sz w:val="24"/>
          <w:szCs w:val="24"/>
          <w:highlight w:val="none"/>
          <w:lang w:val="en-US" w:eastAsia="zh-CN"/>
        </w:rPr>
        <w:t>居民</w:t>
      </w:r>
      <w:r>
        <w:rPr>
          <w:rFonts w:hint="eastAsia" w:ascii="Times New Roman" w:hAnsi="Times New Roman" w:eastAsia="宋体" w:cs="宋体"/>
          <w:b w:val="0"/>
          <w:bCs/>
          <w:color w:val="auto"/>
          <w:sz w:val="24"/>
          <w:szCs w:val="24"/>
          <w:highlight w:val="none"/>
          <w:lang w:val="en-US" w:eastAsia="zh-CN"/>
        </w:rPr>
        <w:t>时减速慢行，非特殊情况，车辆尽量减少鸣笛，同时要求运输道路两侧进行绿化，以减轻车辆噪声对居住区的影响。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项目噪声防治措施及达标情况见表7.2-2。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表7.2-2</w:t>
      </w:r>
      <w:r>
        <w:rPr>
          <w:rFonts w:hint="eastAsia" w:ascii="Times New Roman" w:hAnsi="Times New Roman" w:eastAsia="宋体" w:cs="宋体"/>
          <w:b/>
          <w:bCs w:val="0"/>
          <w:color w:val="auto"/>
          <w:sz w:val="24"/>
          <w:szCs w:val="24"/>
          <w:highlight w:val="none"/>
          <w:lang w:val="en-US" w:eastAsia="zh-CN"/>
        </w:rPr>
        <w:tab/>
      </w:r>
      <w:r>
        <w:rPr>
          <w:rFonts w:hint="eastAsia" w:ascii="Times New Roman" w:hAnsi="Times New Roman" w:eastAsia="宋体" w:cs="宋体"/>
          <w:b/>
          <w:bCs w:val="0"/>
          <w:color w:val="auto"/>
          <w:sz w:val="24"/>
          <w:szCs w:val="24"/>
          <w:highlight w:val="none"/>
          <w:lang w:val="en-US" w:eastAsia="zh-CN"/>
        </w:rPr>
        <w:t>噪声防治措施一览表</w:t>
      </w:r>
    </w:p>
    <w:tbl>
      <w:tblPr>
        <w:tblStyle w:val="35"/>
        <w:tblW w:w="0" w:type="auto"/>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7"/>
        <w:gridCol w:w="4134"/>
        <w:gridCol w:w="1275"/>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exact"/>
          <w:jc w:val="center"/>
        </w:trPr>
        <w:tc>
          <w:tcPr>
            <w:tcW w:w="3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污染源种类</w:t>
            </w:r>
          </w:p>
        </w:tc>
        <w:tc>
          <w:tcPr>
            <w:tcW w:w="4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防治措施</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达标情况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exact"/>
          <w:jc w:val="center"/>
        </w:trPr>
        <w:tc>
          <w:tcPr>
            <w:tcW w:w="3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洗砂机</w:t>
            </w:r>
            <w:r>
              <w:rPr>
                <w:rFonts w:hint="eastAsia" w:ascii="Times New Roman" w:hAnsi="Times New Roman" w:eastAsia="宋体" w:cs="宋体"/>
                <w:b w:val="0"/>
                <w:bCs/>
                <w:color w:val="auto"/>
                <w:sz w:val="21"/>
                <w:szCs w:val="21"/>
                <w:highlight w:val="none"/>
                <w:lang w:val="en-US" w:eastAsia="zh-CN"/>
              </w:rPr>
              <w:t>、</w:t>
            </w:r>
            <w:r>
              <w:rPr>
                <w:rFonts w:hint="eastAsia" w:eastAsia="宋体" w:cs="宋体"/>
                <w:b w:val="0"/>
                <w:bCs/>
                <w:color w:val="auto"/>
                <w:sz w:val="21"/>
                <w:szCs w:val="21"/>
                <w:highlight w:val="none"/>
                <w:lang w:val="en-US" w:eastAsia="zh-CN"/>
              </w:rPr>
              <w:t>筛分机</w:t>
            </w:r>
            <w:r>
              <w:rPr>
                <w:rFonts w:hint="eastAsia" w:ascii="Times New Roman" w:hAnsi="Times New Roman" w:eastAsia="宋体" w:cs="宋体"/>
                <w:b w:val="0"/>
                <w:bCs/>
                <w:color w:val="auto"/>
                <w:sz w:val="21"/>
                <w:szCs w:val="21"/>
                <w:highlight w:val="none"/>
                <w:lang w:val="en-US" w:eastAsia="zh-CN"/>
              </w:rPr>
              <w:t>等</w:t>
            </w:r>
          </w:p>
        </w:tc>
        <w:tc>
          <w:tcPr>
            <w:tcW w:w="4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采取相应隔声降噪措施，加强采区周围绿化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措施</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达标</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exact"/>
          <w:jc w:val="center"/>
        </w:trPr>
        <w:tc>
          <w:tcPr>
            <w:tcW w:w="3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运输车辆</w:t>
            </w:r>
          </w:p>
        </w:tc>
        <w:tc>
          <w:tcPr>
            <w:tcW w:w="4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减速慢行、减少鸣笛</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1" w:name="6.2.3.3噪声防治措施可行性分析"/>
      <w:bookmarkEnd w:id="361"/>
      <w:r>
        <w:rPr>
          <w:rFonts w:hint="eastAsia" w:ascii="Times New Roman" w:hAnsi="Times New Roman" w:eastAsia="宋体" w:cs="宋体"/>
          <w:b/>
          <w:bCs w:val="0"/>
          <w:color w:val="auto"/>
          <w:sz w:val="24"/>
          <w:szCs w:val="24"/>
          <w:highlight w:val="none"/>
          <w:lang w:val="en-US" w:eastAsia="zh-CN"/>
        </w:rPr>
        <w:t xml:space="preserve">7.2.3.3 噪声防治措施可行性分析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通过采取以上降噪、隔声措施可使设备噪声得到有效控制，对周围环境噪声影响可降到最低程度，噪声值符合《工业企业厂界环境噪声排放标准》（GB12348-2008）中2类标准限值。因此，本项目采取的噪声防治措施是可行的。</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62" w:name="6.2.4固体废弃物处置措施及可行性分析"/>
      <w:bookmarkEnd w:id="362"/>
      <w:bookmarkStart w:id="363" w:name="_bookmark121"/>
      <w:bookmarkEnd w:id="363"/>
      <w:bookmarkStart w:id="364" w:name="_Toc18925"/>
      <w:r>
        <w:rPr>
          <w:rFonts w:hint="eastAsia" w:ascii="Times New Roman" w:hAnsi="Times New Roman" w:eastAsia="宋体"/>
          <w:b/>
          <w:bCs w:val="0"/>
          <w:color w:val="auto"/>
          <w:sz w:val="30"/>
          <w:szCs w:val="30"/>
          <w:highlight w:val="none"/>
          <w:lang w:val="en-US" w:eastAsia="zh-CN"/>
        </w:rPr>
        <w:t>7.2.4 固体废弃物处置措施及可行性分析</w:t>
      </w:r>
      <w:bookmarkEnd w:id="364"/>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5" w:name="6.2.4.1固体废物处置措施"/>
      <w:bookmarkEnd w:id="365"/>
      <w:r>
        <w:rPr>
          <w:rFonts w:hint="eastAsia" w:ascii="Times New Roman" w:hAnsi="Times New Roman" w:eastAsia="宋体" w:cs="宋体"/>
          <w:b/>
          <w:bCs w:val="0"/>
          <w:color w:val="auto"/>
          <w:sz w:val="24"/>
          <w:szCs w:val="24"/>
          <w:highlight w:val="none"/>
          <w:lang w:val="en-US" w:eastAsia="zh-CN"/>
        </w:rPr>
        <w:t xml:space="preserve">7.2.4.1 固体废物处置措施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1</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废石</w:t>
      </w:r>
      <w:r>
        <w:rPr>
          <w:rFonts w:hint="eastAsia" w:eastAsia="宋体"/>
          <w:color w:val="FF0000"/>
          <w:highlight w:val="none"/>
          <w:lang w:val="en-US" w:eastAsia="zh-CN"/>
        </w:rPr>
        <w:t>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扩建</w:t>
      </w:r>
      <w:r>
        <w:rPr>
          <w:rFonts w:hint="eastAsia" w:ascii="Times New Roman" w:hAnsi="Times New Roman" w:eastAsia="宋体"/>
          <w:color w:val="FF0000"/>
          <w:highlight w:val="none"/>
          <w:lang w:val="en-US" w:eastAsia="zh-CN"/>
        </w:rPr>
        <w:t>后</w:t>
      </w:r>
      <w:r>
        <w:rPr>
          <w:rFonts w:hint="eastAsia" w:eastAsia="宋体"/>
          <w:color w:val="FF0000"/>
          <w:highlight w:val="none"/>
          <w:lang w:val="en-US" w:eastAsia="zh-CN"/>
        </w:rPr>
        <w:t>新增洗砂工序，在筛分工序分离出石子，产量为4000m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/a，10000t/a（按2.5g/cm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w:t>
      </w:r>
      <w:r>
        <w:rPr>
          <w:rFonts w:hint="eastAsia" w:eastAsia="宋体"/>
          <w:color w:val="FF0000"/>
          <w:highlight w:val="none"/>
          <w:lang w:val="en-US" w:eastAsia="zh-CN"/>
        </w:rPr>
        <w:t>约90%可以出售，剩余无法出售的回填采空区。本环评要求，能出售利用的优先出售利用，不能出售的再</w:t>
      </w:r>
      <w:r>
        <w:rPr>
          <w:rFonts w:hint="eastAsia" w:ascii="Times New Roman" w:hAnsi="Times New Roman" w:eastAsia="宋体"/>
          <w:color w:val="FF0000"/>
          <w:highlight w:val="none"/>
        </w:rPr>
        <w:t>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脱水底泥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洗砂工序产生的洗砂废水经沉淀池处理后，回用于洗砂工序，沉淀池底泥经浓缩脱水机脱水后，产量为3200m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/a，4096t/a（按1.28g/cm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最终全部回填到采空区。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废石子、脱水底泥优先回填至采坑1，待采坑1填满后，将采坑2成品堆场（采空区）作为回填区回填，成品堆场沿着采坑2推进。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新增劳动定员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生活垃圾产生量按0.5kg/人/天测算，现有劳动定员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人，年工作 240 天，生活垃圾产生量为</w:t>
      </w:r>
      <w:r>
        <w:rPr>
          <w:rFonts w:hint="eastAsia" w:eastAsia="宋体"/>
          <w:color w:val="auto"/>
          <w:highlight w:val="none"/>
          <w:lang w:val="en-US" w:eastAsia="zh-CN"/>
        </w:rPr>
        <w:t>1.44</w:t>
      </w:r>
      <w:r>
        <w:rPr>
          <w:rFonts w:hint="eastAsia" w:ascii="Times New Roman" w:hAnsi="Times New Roman" w:eastAsia="宋体"/>
          <w:color w:val="auto"/>
          <w:highlight w:val="none"/>
        </w:rPr>
        <w:t>t/a，集中收集后，按环卫部门要求统一处理。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表土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eastAsia="宋体"/>
          <w:color w:val="FF0000"/>
          <w:highlight w:val="none"/>
          <w:lang w:val="en-US" w:eastAsia="zh-CN"/>
        </w:rPr>
        <w:t>开采过程中未开采区会产生表土，年产生量约为3500m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，堆放于工业场地西侧新设表土堆场，用于矿区覆土。表土堆场采取苫盖措施。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6" w:name="6.2.4.2固废处置措施可行性分析 "/>
      <w:bookmarkEnd w:id="366"/>
      <w:r>
        <w:rPr>
          <w:rFonts w:hint="eastAsia" w:ascii="Times New Roman" w:hAnsi="Times New Roman" w:eastAsia="宋体" w:cs="宋体"/>
          <w:b/>
          <w:bCs w:val="0"/>
          <w:color w:val="auto"/>
          <w:sz w:val="24"/>
          <w:szCs w:val="24"/>
          <w:highlight w:val="none"/>
          <w:lang w:val="en-US" w:eastAsia="zh-CN"/>
        </w:rPr>
        <w:t xml:space="preserve">7.2.4.2 固废处置措施可行性分析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固体废物处理措施为国内同行企业的普遍做法，符合国家和当地实际情况，合理可行；各固体废物均得到了妥善处置。建设单位应进一步做好各固废的堆存保管和防护，并设专人严格管理，防止二次污染。因此，本项目采取的固废防治措施是可行的。</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67" w:name="_bookmark122"/>
      <w:bookmarkEnd w:id="367"/>
      <w:bookmarkStart w:id="368" w:name="6.2.5生态环境保护措施及可行性分析"/>
      <w:bookmarkEnd w:id="368"/>
      <w:bookmarkStart w:id="369" w:name="_Toc12677"/>
      <w:r>
        <w:rPr>
          <w:rFonts w:hint="eastAsia" w:ascii="Times New Roman" w:hAnsi="Times New Roman" w:eastAsia="宋体"/>
          <w:b/>
          <w:bCs w:val="0"/>
          <w:color w:val="auto"/>
          <w:sz w:val="30"/>
          <w:szCs w:val="30"/>
          <w:highlight w:val="none"/>
          <w:lang w:val="en-US" w:eastAsia="zh-CN"/>
        </w:rPr>
        <w:t>7.2.5 生态环境保护措施及可行性分析</w:t>
      </w:r>
      <w:bookmarkEnd w:id="369"/>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0" w:name="6.2.5.1对动物资源保护措施"/>
      <w:bookmarkEnd w:id="370"/>
      <w:r>
        <w:rPr>
          <w:rFonts w:hint="eastAsia" w:ascii="Times New Roman" w:hAnsi="Times New Roman" w:eastAsia="宋体" w:cs="宋体"/>
          <w:b/>
          <w:bCs w:val="0"/>
          <w:color w:val="auto"/>
          <w:sz w:val="24"/>
          <w:szCs w:val="24"/>
          <w:highlight w:val="none"/>
          <w:lang w:val="en-US" w:eastAsia="zh-CN"/>
        </w:rPr>
        <w:t xml:space="preserve">7.2.5.1 对动物资源保护措施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通过现场调查和咨询，项目占地范围内动物资源匮乏，主要是小型啮齿类、爬行类动物及常见鸟类，由于该地区人类活动较早、较频繁，项目区无珍稀、濒危受保护的野生动物，因此该项目建设运营对当地的动物影响很小。为使影响降到最低，应采取以下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（1）矿区在生产过程中应制定施工方案，尽量将可能的影响范围控制在最低限度，不能随意践踏草地。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（2）尽可能地减少土地资源的破坏，以保护动物的栖息地。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（3）矿石运输过程中，规范运输车辆的行车路线，不得随意践踏草地，破坏小型啮齿类、爬行类动物栖息环境。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（4）所使用的大噪音设备均加隔声装置，降低噪声对动物的影响。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（5）矿区在开发过程中应加强对职工有关野生动植物资源保护的宣传教育，防止乱挖、滥捕滥杀；规范运输车辆的行车路线，遇到受伤的国家保护动物，应交当地林业部门处理。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6）采矿工程运营期应制定地表植被恢复方案。因工程建设而被破坏的地段，应及时采取生物措施，种植适宜植物，恢复地表植被，从而减少水蚀和风蚀造成的水土流失量。要求地表植被恢复与工程建设同步进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（7）为保证矿区生态系统的多样性和完整性，矿区生态工程建设应与矿区施工建设同步进行，做到工程到位一步，生态工程建设跟进一步。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1" w:name="6.2.5.2对植物资源保护措施"/>
      <w:bookmarkEnd w:id="371"/>
      <w:r>
        <w:rPr>
          <w:rFonts w:hint="eastAsia" w:ascii="Times New Roman" w:hAnsi="Times New Roman" w:eastAsia="宋体" w:cs="宋体"/>
          <w:b/>
          <w:bCs w:val="0"/>
          <w:color w:val="auto"/>
          <w:sz w:val="24"/>
          <w:szCs w:val="24"/>
          <w:highlight w:val="none"/>
          <w:lang w:val="en-US" w:eastAsia="zh-CN"/>
        </w:rPr>
        <w:t xml:space="preserve">7.2.5.2 对植物资源保护措施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加强运营期的管理，对工作人员进行环保培训，尽量保护征地范围内及周边的地表植被。不要随意碾压和践踏植物；对于运营过程中产生的各种扬尘，及时进行沉降处理，以防止落在植物叶片上，影响植物呼吸和光合作用；因地制宜地选取同类植物物种，种植在可能生长的区域，从而补给被破坏的植物资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同时，企业应根据本项目的《矿产资源开发利用方案》以及本报告所提出的各项措施，在运营期和服务期满后开展土地复垦、植被绿化等工作。对生产过程中造成的可以恢复的破坏面及时复垦、恢复植被，实行生产→生态恢复一体化的矿产资源开发模式，边生产边恢复，做到工程到位一步，生态工程建设跟进一步，从而减少水蚀和风蚀造成的水土流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bookmarkStart w:id="372" w:name="6.2.5.3对景观影响的协调措施"/>
      <w:bookmarkEnd w:id="372"/>
      <w:r>
        <w:rPr>
          <w:rFonts w:hint="eastAsia" w:ascii="Times New Roman" w:hAnsi="Times New Roman" w:eastAsia="宋体" w:cs="宋体"/>
          <w:b/>
          <w:bCs w:val="0"/>
          <w:color w:val="auto"/>
          <w:sz w:val="24"/>
          <w:szCs w:val="24"/>
          <w:highlight w:val="none"/>
          <w:lang w:val="en-US" w:eastAsia="zh-CN"/>
        </w:rPr>
        <w:t>7.2.5.3 对景观影响的协调措施</w:t>
      </w:r>
      <w:r>
        <w:rPr>
          <w:rFonts w:hint="eastAsia" w:ascii="Times New Roman" w:hAnsi="Times New Roman" w:eastAsia="宋体" w:cs="宋体"/>
          <w:b w:val="0"/>
          <w:b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项目的建设占用本区的草地，影响当地生态环境，但通过合理实施工程措施和生物措施，可以将这种影响减少到最低程度，使人工景观自然的镶嵌于天然景观中，形成半自然半人工的复合生态系统。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采用当地植被方式对</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val="en-US" w:eastAsia="zh-CN"/>
        </w:rPr>
        <w:t>办公生活区、</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堆场、采矿工业场地及道路两侧进行绿化。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3" w:name="6.2.5.4矿区生态保护措施"/>
      <w:bookmarkEnd w:id="373"/>
      <w:r>
        <w:rPr>
          <w:rFonts w:hint="eastAsia" w:ascii="Times New Roman" w:hAnsi="Times New Roman" w:eastAsia="宋体" w:cs="宋体"/>
          <w:b/>
          <w:bCs w:val="0"/>
          <w:color w:val="auto"/>
          <w:sz w:val="24"/>
          <w:szCs w:val="24"/>
          <w:highlight w:val="none"/>
          <w:lang w:val="en-US" w:eastAsia="zh-CN"/>
        </w:rPr>
        <w:t>7.2.5.4 矿区生态保护措施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w:t>
      </w:r>
      <w:r>
        <w:rPr>
          <w:rFonts w:hint="eastAsia"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val="en-US" w:eastAsia="zh-CN"/>
        </w:rPr>
        <w:t>）动植物资源保护对策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①矿区在生产过程中尽量将可能的影响范围控制在最低限度，不能随意践踏草地。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②矿区在开发过程中应加强对职工有关野生动植物资源保护的宣传教育，防止乱挖、滥捕滥杀；规范运输车辆的行车路线，遇到受伤的国家保护动物，应交当地林</w:t>
      </w:r>
      <w:r>
        <w:rPr>
          <w:rFonts w:hint="eastAsia" w:eastAsia="宋体" w:cs="宋体"/>
          <w:b w:val="0"/>
          <w:bCs/>
          <w:color w:val="auto"/>
          <w:sz w:val="24"/>
          <w:szCs w:val="24"/>
          <w:highlight w:val="none"/>
          <w:lang w:val="en-US" w:eastAsia="zh-CN"/>
        </w:rPr>
        <w:t>草</w:t>
      </w:r>
      <w:r>
        <w:rPr>
          <w:rFonts w:hint="eastAsia" w:ascii="Times New Roman" w:hAnsi="Times New Roman" w:eastAsia="宋体" w:cs="宋体"/>
          <w:b w:val="0"/>
          <w:bCs/>
          <w:color w:val="auto"/>
          <w:sz w:val="24"/>
          <w:szCs w:val="24"/>
          <w:highlight w:val="none"/>
          <w:lang w:val="en-US" w:eastAsia="zh-CN"/>
        </w:rPr>
        <w:t>部门处理。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③采矿工程运营期应制定地表植被恢复方案。因工程建设而被破坏的地段，应及时采取生物措施，种植适宜植物，恢复地表植被，从而减少水蚀和风蚀造成的水土流失量。要求地表植被恢复与工程建设同步进行。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④为保证矿区生态系统的多样性和完整性，矿区生态工程建设应与矿区施工建设同步进行，做到工程到位一步，生态工程建设跟进一步。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val="en-US" w:eastAsia="zh-CN"/>
        </w:rPr>
        <w:t>）工程措施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采场、成品堆场等采取防洪措施</w:t>
      </w:r>
      <w:r>
        <w:rPr>
          <w:rFonts w:hint="eastAsia" w:ascii="Times New Roman" w:hAnsi="Times New Roman" w:eastAsia="宋体" w:cs="宋体"/>
          <w:b w:val="0"/>
          <w:bCs/>
          <w:color w:val="auto"/>
          <w:sz w:val="24"/>
          <w:szCs w:val="24"/>
          <w:highlight w:val="none"/>
          <w:lang w:val="en-US" w:eastAsia="zh-CN"/>
        </w:rPr>
        <w:t>，可以避免发生滑坡，破坏周边生态植被，防止上游汇水冲击</w:t>
      </w:r>
      <w:r>
        <w:rPr>
          <w:rFonts w:hint="eastAsia" w:eastAsia="宋体" w:cs="宋体"/>
          <w:b w:val="0"/>
          <w:bCs/>
          <w:color w:val="auto"/>
          <w:sz w:val="24"/>
          <w:szCs w:val="24"/>
          <w:highlight w:val="none"/>
          <w:lang w:val="en-US" w:eastAsia="zh-CN"/>
        </w:rPr>
        <w:t>，</w:t>
      </w:r>
      <w:r>
        <w:rPr>
          <w:rFonts w:hint="eastAsia" w:ascii="Times New Roman" w:hAnsi="Times New Roman" w:eastAsia="宋体" w:cs="宋体"/>
          <w:b w:val="0"/>
          <w:bCs/>
          <w:color w:val="auto"/>
          <w:sz w:val="24"/>
          <w:szCs w:val="24"/>
          <w:highlight w:val="none"/>
          <w:lang w:val="en-US" w:eastAsia="zh-CN"/>
        </w:rPr>
        <w:t>造成水土流失或发生滑坡。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4" w:name="6.2.5.6服务期满后生态保护措施"/>
      <w:bookmarkEnd w:id="374"/>
      <w:bookmarkStart w:id="375" w:name="6.2.5.5预测地表塌陷范围内生态影响防治措施 "/>
      <w:bookmarkEnd w:id="375"/>
      <w:r>
        <w:rPr>
          <w:rFonts w:hint="eastAsia" w:ascii="Times New Roman" w:hAnsi="Times New Roman" w:eastAsia="宋体" w:cs="宋体"/>
          <w:b/>
          <w:bCs w:val="0"/>
          <w:color w:val="auto"/>
          <w:sz w:val="24"/>
          <w:szCs w:val="24"/>
          <w:highlight w:val="none"/>
          <w:lang w:val="en-US" w:eastAsia="zh-CN"/>
        </w:rPr>
        <w:t>7.2.5.</w:t>
      </w:r>
      <w:r>
        <w:rPr>
          <w:rFonts w:hint="eastAsia" w:eastAsia="宋体" w:cs="宋体"/>
          <w:b/>
          <w:bCs w:val="0"/>
          <w:color w:val="auto"/>
          <w:sz w:val="24"/>
          <w:szCs w:val="24"/>
          <w:highlight w:val="none"/>
          <w:lang w:val="en-US" w:eastAsia="zh-CN"/>
        </w:rPr>
        <w:t>5</w:t>
      </w:r>
      <w:r>
        <w:rPr>
          <w:rFonts w:hint="eastAsia" w:ascii="Times New Roman" w:hAnsi="Times New Roman" w:eastAsia="宋体" w:cs="宋体"/>
          <w:b/>
          <w:bCs w:val="0"/>
          <w:color w:val="auto"/>
          <w:sz w:val="24"/>
          <w:szCs w:val="24"/>
          <w:highlight w:val="none"/>
          <w:lang w:val="en-US" w:eastAsia="zh-CN"/>
        </w:rPr>
        <w:t xml:space="preserve"> 服务期满后生态保护措施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土地复垦规定》，第二条“土地复垦是指对在生产建设过程中，因挖损、塌陷、压占等造成破坏的土地，采取整治措施，使其恢复到可供利用状态的活动”；第四条“土地复垦，实行‘谁破坏、谁复垦’的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根据《内蒙古自治区矿产资源有偿使用管理办法(试行)》，第四十五条“为加强全区矿山地质环境治理和生态恢复，自治区将依法实行矿山地质环境治理保证金制度，建立矿山地质环境治理责任机制”；第四十六条“矿山地质环境治理保证金(以下简称保证金)，是指采矿权人在开采矿产资源过程中，为依法保护矿山地质环境，履行矿山地质环境治理的责任，在自治区财政部门指定的银行专户存储的担保资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（1）生态恢复原则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根据项目所在区域的生态环境现状，以及项目建设对生态环境的扰动与破坏程度，以恢复受损区域、重建生态系统、因地制宜等原则、分区分重点开展服务期满后生态恢复工作。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（2）生态恢复目标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结合项目所在区域生态环境现状，以</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val="en-US" w:eastAsia="zh-CN"/>
        </w:rPr>
        <w:t>、采矿工业场地、</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堆场及办公生活区植被破坏区的植被恢复及水土保持为修复重点。本项目生态环境恢复目标为：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①服务期满后，项目建设破坏的土地复垦率达到</w:t>
      </w:r>
      <w:r>
        <w:rPr>
          <w:rFonts w:hint="eastAsia" w:eastAsia="宋体" w:cs="宋体"/>
          <w:b w:val="0"/>
          <w:bCs/>
          <w:color w:val="auto"/>
          <w:sz w:val="24"/>
          <w:szCs w:val="24"/>
          <w:highlight w:val="none"/>
          <w:lang w:val="en-US" w:eastAsia="zh-CN"/>
        </w:rPr>
        <w:t>100</w:t>
      </w:r>
      <w:r>
        <w:rPr>
          <w:rFonts w:hint="eastAsia" w:ascii="Times New Roman" w:hAnsi="Times New Roman" w:eastAsia="宋体" w:cs="宋体"/>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②植被恢复系数达到</w:t>
      </w:r>
      <w:r>
        <w:rPr>
          <w:rFonts w:hint="eastAsia" w:eastAsia="宋体" w:cs="宋体"/>
          <w:b w:val="0"/>
          <w:bCs/>
          <w:color w:val="auto"/>
          <w:sz w:val="24"/>
          <w:szCs w:val="24"/>
          <w:highlight w:val="none"/>
          <w:lang w:val="en-US" w:eastAsia="zh-CN"/>
        </w:rPr>
        <w:t>100</w:t>
      </w:r>
      <w:r>
        <w:rPr>
          <w:rFonts w:hint="eastAsia" w:ascii="Times New Roman" w:hAnsi="Times New Roman" w:eastAsia="宋体" w:cs="宋体"/>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③恢复方向为草地。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（3）生态恢复措施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 xml:space="preserve">堆场生态恢复措施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本项目服务期</w:t>
      </w:r>
      <w:r>
        <w:rPr>
          <w:rFonts w:hint="eastAsia" w:ascii="Times New Roman" w:hAnsi="Times New Roman" w:eastAsia="宋体" w:cs="宋体"/>
          <w:b w:val="0"/>
          <w:bCs/>
          <w:color w:val="FF0000"/>
          <w:sz w:val="24"/>
          <w:szCs w:val="24"/>
          <w:highlight w:val="none"/>
          <w:lang w:val="en-US" w:eastAsia="zh-CN"/>
        </w:rPr>
        <w:t>满后，</w:t>
      </w:r>
      <w:r>
        <w:rPr>
          <w:rFonts w:hint="eastAsia" w:eastAsia="宋体" w:cs="宋体"/>
          <w:b w:val="0"/>
          <w:bCs/>
          <w:color w:val="FF0000"/>
          <w:sz w:val="24"/>
          <w:szCs w:val="24"/>
          <w:highlight w:val="none"/>
          <w:lang w:val="en-US" w:eastAsia="zh-CN"/>
        </w:rPr>
        <w:t>回填</w:t>
      </w:r>
      <w:r>
        <w:rPr>
          <w:rFonts w:hint="eastAsia" w:ascii="Times New Roman" w:hAnsi="Times New Roman" w:eastAsia="宋体" w:cs="宋体"/>
          <w:b w:val="0"/>
          <w:bCs/>
          <w:color w:val="FF0000"/>
          <w:sz w:val="24"/>
          <w:szCs w:val="24"/>
          <w:highlight w:val="none"/>
          <w:lang w:val="en-US" w:eastAsia="zh-CN"/>
        </w:rPr>
        <w:t>平整</w:t>
      </w:r>
      <w:r>
        <w:rPr>
          <w:rFonts w:hint="eastAsia" w:eastAsia="宋体" w:cs="宋体"/>
          <w:b w:val="0"/>
          <w:bCs/>
          <w:color w:val="FF0000"/>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堆场占地范围内土地，地平整后进行覆土，覆土充分利用已剥离的表土，设计覆土厚度为0.3m。根据项目区自然条件以及项目占地区土地利用类型（草地），将该区恢</w:t>
      </w:r>
      <w:r>
        <w:rPr>
          <w:rFonts w:hint="eastAsia" w:ascii="Times New Roman" w:hAnsi="Times New Roman" w:eastAsia="宋体" w:cs="宋体"/>
          <w:b w:val="0"/>
          <w:bCs/>
          <w:color w:val="FF0000"/>
          <w:sz w:val="24"/>
          <w:szCs w:val="24"/>
          <w:highlight w:val="none"/>
          <w:lang w:val="en-US" w:eastAsia="zh-CN"/>
        </w:rPr>
        <w:t>复为草地，植被选择</w:t>
      </w:r>
      <w:r>
        <w:rPr>
          <w:rFonts w:hint="eastAsia" w:eastAsia="宋体" w:cs="宋体"/>
          <w:b w:val="0"/>
          <w:bCs/>
          <w:color w:val="FF0000"/>
          <w:sz w:val="24"/>
          <w:szCs w:val="24"/>
          <w:highlight w:val="none"/>
          <w:lang w:val="en-US" w:eastAsia="zh-CN"/>
        </w:rPr>
        <w:t>披肩草、冰草、紫花苜蓿、油菜籽等混合草种</w:t>
      </w:r>
      <w:r>
        <w:rPr>
          <w:rFonts w:hint="eastAsia" w:ascii="Times New Roman" w:hAnsi="Times New Roman" w:eastAsia="宋体" w:cs="宋体"/>
          <w:b w:val="0"/>
          <w:bCs/>
          <w:color w:val="FF0000"/>
          <w:sz w:val="24"/>
          <w:szCs w:val="24"/>
          <w:highlight w:val="none"/>
          <w:lang w:val="en-US" w:eastAsia="zh-CN"/>
        </w:rPr>
        <w:t>，生态恢复面积为</w:t>
      </w:r>
      <w:r>
        <w:rPr>
          <w:rFonts w:hint="eastAsia" w:eastAsia="宋体" w:cs="宋体"/>
          <w:b w:val="0"/>
          <w:bCs/>
          <w:color w:val="FF0000"/>
          <w:sz w:val="24"/>
          <w:szCs w:val="24"/>
          <w:highlight w:val="none"/>
          <w:lang w:val="en-US" w:eastAsia="zh-CN"/>
        </w:rPr>
        <w:t>2650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②</w:t>
      </w:r>
      <w:r>
        <w:rPr>
          <w:rFonts w:hint="eastAsia" w:eastAsia="宋体" w:cs="宋体"/>
          <w:b w:val="0"/>
          <w:bCs/>
          <w:color w:val="FF0000"/>
          <w:sz w:val="24"/>
          <w:szCs w:val="24"/>
          <w:highlight w:val="none"/>
          <w:lang w:val="en-US" w:eastAsia="zh-CN"/>
        </w:rPr>
        <w:t>表土</w:t>
      </w:r>
      <w:r>
        <w:rPr>
          <w:rFonts w:hint="eastAsia" w:ascii="Times New Roman" w:hAnsi="Times New Roman" w:eastAsia="宋体" w:cs="宋体"/>
          <w:b w:val="0"/>
          <w:bCs/>
          <w:color w:val="FF0000"/>
          <w:sz w:val="24"/>
          <w:szCs w:val="24"/>
          <w:highlight w:val="none"/>
          <w:lang w:val="en-US" w:eastAsia="zh-CN"/>
        </w:rPr>
        <w:t xml:space="preserve">堆场生态恢复措施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表土堆场退场时</w:t>
      </w:r>
      <w:r>
        <w:rPr>
          <w:rFonts w:hint="eastAsia" w:ascii="Times New Roman" w:hAnsi="Times New Roman" w:eastAsia="宋体" w:cs="宋体"/>
          <w:b w:val="0"/>
          <w:bCs/>
          <w:color w:val="FF0000"/>
          <w:sz w:val="24"/>
          <w:szCs w:val="24"/>
          <w:highlight w:val="none"/>
          <w:lang w:val="en-US" w:eastAsia="zh-CN"/>
        </w:rPr>
        <w:t>，对</w:t>
      </w:r>
      <w:r>
        <w:rPr>
          <w:rFonts w:hint="eastAsia" w:eastAsia="宋体" w:cs="宋体"/>
          <w:b w:val="0"/>
          <w:bCs/>
          <w:color w:val="FF0000"/>
          <w:sz w:val="24"/>
          <w:szCs w:val="24"/>
          <w:highlight w:val="none"/>
          <w:lang w:val="en-US" w:eastAsia="zh-CN"/>
        </w:rPr>
        <w:t>表土</w:t>
      </w:r>
      <w:r>
        <w:rPr>
          <w:rFonts w:hint="eastAsia" w:ascii="Times New Roman" w:hAnsi="Times New Roman" w:eastAsia="宋体" w:cs="宋体"/>
          <w:b w:val="0"/>
          <w:bCs/>
          <w:color w:val="FF0000"/>
          <w:sz w:val="24"/>
          <w:szCs w:val="24"/>
          <w:highlight w:val="none"/>
          <w:lang w:val="en-US" w:eastAsia="zh-CN"/>
        </w:rPr>
        <w:t>临时堆场进行清理、地表土地平整及覆土，覆土充分利用已剥离的表土，覆土厚度为0.3m。植被恢复面积为</w:t>
      </w:r>
      <w:r>
        <w:rPr>
          <w:rFonts w:hint="eastAsia" w:eastAsia="宋体" w:cs="宋体"/>
          <w:b w:val="0"/>
          <w:bCs/>
          <w:color w:val="FF0000"/>
          <w:sz w:val="24"/>
          <w:szCs w:val="24"/>
          <w:highlight w:val="none"/>
          <w:lang w:val="en-US" w:eastAsia="zh-CN"/>
        </w:rPr>
        <w:t>2000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，植被</w:t>
      </w:r>
      <w:r>
        <w:rPr>
          <w:rFonts w:hint="eastAsia" w:eastAsia="宋体" w:cs="宋体"/>
          <w:b w:val="0"/>
          <w:bCs/>
          <w:color w:val="FF0000"/>
          <w:sz w:val="24"/>
          <w:szCs w:val="24"/>
          <w:highlight w:val="none"/>
          <w:lang w:val="en-US" w:eastAsia="zh-CN"/>
        </w:rPr>
        <w:t>选择披肩草、冰草、紫花苜蓿、油菜籽等混合草种</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③</w:t>
      </w:r>
      <w:r>
        <w:rPr>
          <w:rFonts w:hint="eastAsia" w:eastAsia="宋体" w:cs="宋体"/>
          <w:b w:val="0"/>
          <w:bCs/>
          <w:color w:val="FF0000"/>
          <w:sz w:val="24"/>
          <w:szCs w:val="24"/>
          <w:highlight w:val="none"/>
          <w:lang w:val="en-US" w:eastAsia="zh-CN"/>
        </w:rPr>
        <w:t>生活区</w:t>
      </w:r>
      <w:r>
        <w:rPr>
          <w:rFonts w:hint="eastAsia" w:ascii="Times New Roman" w:hAnsi="Times New Roman" w:eastAsia="宋体" w:cs="宋体"/>
          <w:b w:val="0"/>
          <w:bCs/>
          <w:color w:val="FF0000"/>
          <w:sz w:val="24"/>
          <w:szCs w:val="24"/>
          <w:highlight w:val="none"/>
          <w:lang w:val="en-US" w:eastAsia="zh-CN"/>
        </w:rPr>
        <w:t>生态恢复措施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服务期满后</w:t>
      </w:r>
      <w:r>
        <w:rPr>
          <w:rFonts w:hint="eastAsia" w:ascii="Times New Roman" w:hAnsi="Times New Roman" w:eastAsia="宋体" w:cs="宋体"/>
          <w:b w:val="0"/>
          <w:bCs/>
          <w:color w:val="FF0000"/>
          <w:sz w:val="24"/>
          <w:szCs w:val="24"/>
          <w:highlight w:val="none"/>
          <w:lang w:val="en-US" w:eastAsia="zh-CN"/>
        </w:rPr>
        <w:t>，对</w:t>
      </w:r>
      <w:r>
        <w:rPr>
          <w:rFonts w:hint="eastAsia" w:eastAsia="宋体" w:cs="宋体"/>
          <w:b w:val="0"/>
          <w:bCs/>
          <w:color w:val="FF0000"/>
          <w:sz w:val="24"/>
          <w:szCs w:val="24"/>
          <w:highlight w:val="none"/>
          <w:lang w:val="en-US" w:eastAsia="zh-CN"/>
        </w:rPr>
        <w:t>生活区</w:t>
      </w:r>
      <w:r>
        <w:rPr>
          <w:rFonts w:hint="eastAsia" w:ascii="Times New Roman" w:hAnsi="Times New Roman" w:eastAsia="宋体" w:cs="宋体"/>
          <w:b w:val="0"/>
          <w:bCs/>
          <w:color w:val="FF0000"/>
          <w:sz w:val="24"/>
          <w:szCs w:val="24"/>
          <w:highlight w:val="none"/>
          <w:lang w:val="en-US" w:eastAsia="zh-CN"/>
        </w:rPr>
        <w:t>进行清理、地表土地平整及覆土，覆土充分利用已剥离的表土，覆土厚度为0.3m。植被恢复面积为</w:t>
      </w:r>
      <w:r>
        <w:rPr>
          <w:rFonts w:hint="eastAsia" w:eastAsia="宋体" w:cs="宋体"/>
          <w:b w:val="0"/>
          <w:bCs/>
          <w:color w:val="FF0000"/>
          <w:sz w:val="24"/>
          <w:szCs w:val="24"/>
          <w:highlight w:val="none"/>
          <w:lang w:val="en-US" w:eastAsia="zh-CN"/>
        </w:rPr>
        <w:t>200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，植被</w:t>
      </w:r>
      <w:r>
        <w:rPr>
          <w:rFonts w:hint="eastAsia" w:eastAsia="宋体" w:cs="宋体"/>
          <w:b w:val="0"/>
          <w:bCs/>
          <w:color w:val="FF0000"/>
          <w:sz w:val="24"/>
          <w:szCs w:val="24"/>
          <w:highlight w:val="none"/>
          <w:lang w:val="en-US" w:eastAsia="zh-CN"/>
        </w:rPr>
        <w:t>选择披肩草、冰草、紫花苜蓿、油菜籽等混合草种</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④矿区道路</w:t>
      </w:r>
      <w:r>
        <w:rPr>
          <w:rFonts w:hint="eastAsia" w:ascii="Times New Roman" w:hAnsi="Times New Roman" w:eastAsia="宋体" w:cs="宋体"/>
          <w:b w:val="0"/>
          <w:bCs/>
          <w:color w:val="FF0000"/>
          <w:sz w:val="24"/>
          <w:szCs w:val="24"/>
          <w:highlight w:val="none"/>
          <w:lang w:val="en-US" w:eastAsia="zh-CN"/>
        </w:rPr>
        <w:t>生态恢复措施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服务期满后</w:t>
      </w:r>
      <w:r>
        <w:rPr>
          <w:rFonts w:hint="eastAsia" w:ascii="Times New Roman" w:hAnsi="Times New Roman" w:eastAsia="宋体" w:cs="宋体"/>
          <w:b w:val="0"/>
          <w:bCs/>
          <w:color w:val="FF0000"/>
          <w:sz w:val="24"/>
          <w:szCs w:val="24"/>
          <w:highlight w:val="none"/>
          <w:lang w:val="en-US" w:eastAsia="zh-CN"/>
        </w:rPr>
        <w:t>，对</w:t>
      </w:r>
      <w:r>
        <w:rPr>
          <w:rFonts w:hint="eastAsia" w:eastAsia="宋体" w:cs="宋体"/>
          <w:b w:val="0"/>
          <w:bCs/>
          <w:color w:val="FF0000"/>
          <w:sz w:val="24"/>
          <w:szCs w:val="24"/>
          <w:highlight w:val="none"/>
          <w:lang w:val="en-US" w:eastAsia="zh-CN"/>
        </w:rPr>
        <w:t>道路</w:t>
      </w:r>
      <w:r>
        <w:rPr>
          <w:rFonts w:hint="eastAsia" w:ascii="Times New Roman" w:hAnsi="Times New Roman" w:eastAsia="宋体" w:cs="宋体"/>
          <w:b w:val="0"/>
          <w:bCs/>
          <w:color w:val="FF0000"/>
          <w:sz w:val="24"/>
          <w:szCs w:val="24"/>
          <w:highlight w:val="none"/>
          <w:lang w:val="en-US" w:eastAsia="zh-CN"/>
        </w:rPr>
        <w:t>进行清理、地表土地平整及覆土，覆土充分利用已剥离的表土，覆土厚度为0.3m。植被恢复面积为</w:t>
      </w:r>
      <w:r>
        <w:rPr>
          <w:rFonts w:hint="eastAsia" w:eastAsia="宋体" w:cs="宋体"/>
          <w:b w:val="0"/>
          <w:bCs/>
          <w:color w:val="FF0000"/>
          <w:sz w:val="24"/>
          <w:szCs w:val="24"/>
          <w:highlight w:val="none"/>
          <w:lang w:val="en-US" w:eastAsia="zh-CN"/>
        </w:rPr>
        <w:t>5620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，植被</w:t>
      </w:r>
      <w:r>
        <w:rPr>
          <w:rFonts w:hint="eastAsia" w:eastAsia="宋体" w:cs="宋体"/>
          <w:b w:val="0"/>
          <w:bCs/>
          <w:color w:val="FF0000"/>
          <w:sz w:val="24"/>
          <w:szCs w:val="24"/>
          <w:highlight w:val="none"/>
          <w:lang w:val="en-US" w:eastAsia="zh-CN"/>
        </w:rPr>
        <w:t>选择披肩草、冰草、紫花苜蓿、油菜籽等混合草种</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⑤</w:t>
      </w:r>
      <w:r>
        <w:rPr>
          <w:rFonts w:hint="eastAsia" w:ascii="Times New Roman" w:hAnsi="Times New Roman" w:eastAsia="宋体" w:cs="宋体"/>
          <w:b w:val="0"/>
          <w:bCs/>
          <w:color w:val="auto"/>
          <w:sz w:val="24"/>
          <w:szCs w:val="24"/>
          <w:highlight w:val="none"/>
          <w:lang w:val="en-US" w:eastAsia="zh-CN"/>
        </w:rPr>
        <w:t xml:space="preserve">采矿工业场地生态恢复措施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本项目服务期满后，针对采矿场地</w:t>
      </w:r>
      <w:r>
        <w:rPr>
          <w:rFonts w:hint="eastAsia" w:eastAsia="宋体" w:cs="宋体"/>
          <w:b w:val="0"/>
          <w:bCs/>
          <w:color w:val="auto"/>
          <w:sz w:val="24"/>
          <w:szCs w:val="24"/>
          <w:highlight w:val="none"/>
          <w:lang w:val="en-US" w:eastAsia="zh-CN"/>
        </w:rPr>
        <w:t>采空区进行回填、削坡、</w:t>
      </w:r>
      <w:r>
        <w:rPr>
          <w:rFonts w:hint="eastAsia" w:ascii="Times New Roman" w:hAnsi="Times New Roman" w:eastAsia="宋体" w:cs="宋体"/>
          <w:b w:val="0"/>
          <w:bCs/>
          <w:color w:val="auto"/>
          <w:sz w:val="24"/>
          <w:szCs w:val="24"/>
          <w:highlight w:val="none"/>
          <w:lang w:val="en-US" w:eastAsia="zh-CN"/>
        </w:rPr>
        <w:t>平整、</w:t>
      </w:r>
      <w:r>
        <w:rPr>
          <w:rFonts w:hint="eastAsia" w:eastAsia="宋体" w:cs="宋体"/>
          <w:b w:val="0"/>
          <w:bCs/>
          <w:color w:val="auto"/>
          <w:sz w:val="24"/>
          <w:szCs w:val="24"/>
          <w:highlight w:val="none"/>
          <w:lang w:val="en-US" w:eastAsia="zh-CN"/>
        </w:rPr>
        <w:t>覆土、</w:t>
      </w:r>
      <w:r>
        <w:rPr>
          <w:rFonts w:hint="eastAsia" w:ascii="Times New Roman" w:hAnsi="Times New Roman" w:eastAsia="宋体" w:cs="宋体"/>
          <w:b w:val="0"/>
          <w:bCs/>
          <w:color w:val="auto"/>
          <w:sz w:val="24"/>
          <w:szCs w:val="24"/>
          <w:highlight w:val="none"/>
          <w:lang w:val="en-US" w:eastAsia="zh-CN"/>
        </w:rPr>
        <w:t>播撒草籽等。生态恢复面积为</w:t>
      </w:r>
      <w:r>
        <w:rPr>
          <w:rFonts w:hint="eastAsia" w:eastAsia="宋体" w:cs="宋体"/>
          <w:b w:val="0"/>
          <w:bCs/>
          <w:color w:val="auto"/>
          <w:sz w:val="24"/>
          <w:szCs w:val="24"/>
          <w:highlight w:val="none"/>
          <w:lang w:val="en-US" w:eastAsia="zh-CN"/>
        </w:rPr>
        <w:t>整个采矿未恢复区域</w:t>
      </w:r>
      <w:r>
        <w:rPr>
          <w:rFonts w:hint="eastAsia" w:ascii="Times New Roman" w:hAnsi="Times New Roman" w:eastAsia="宋体" w:cs="宋体"/>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矿区生态建设和生态恢复指标、年度实施计划、工程投资及恢复指标见表 7.2-3。矿区</w:t>
      </w:r>
      <w:r>
        <w:rPr>
          <w:rFonts w:hint="eastAsia" w:eastAsia="宋体" w:cs="宋体"/>
          <w:b w:val="0"/>
          <w:bCs/>
          <w:color w:val="auto"/>
          <w:sz w:val="24"/>
          <w:szCs w:val="24"/>
          <w:highlight w:val="none"/>
          <w:lang w:val="en-US" w:eastAsia="zh-CN"/>
        </w:rPr>
        <w:t>典型生态恢复措施平面布置见附图13。</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FF0000"/>
          <w:highlight w:val="none"/>
          <w:lang w:val="en-US" w:eastAsia="zh-CN"/>
        </w:rPr>
      </w:pPr>
      <w:bookmarkStart w:id="376" w:name="_Toc6534"/>
      <w:r>
        <w:rPr>
          <w:rFonts w:hint="eastAsia" w:ascii="Times New Roman" w:hAnsi="Times New Roman" w:eastAsia="宋体"/>
          <w:b/>
          <w:bCs w:val="0"/>
          <w:color w:val="FF0000"/>
          <w:highlight w:val="none"/>
          <w:lang w:val="en-US" w:eastAsia="zh-CN"/>
        </w:rPr>
        <w:t>7.2.6 土壤污染防治措施</w:t>
      </w:r>
      <w:bookmarkEnd w:id="376"/>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根据《环境影响评价技术导则 土壤环境（试行）》（HJ964-2018）的要求，土壤污染防治措施主要包括源头控制措施、过程控制措施。</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FF0000"/>
          <w:sz w:val="24"/>
          <w:szCs w:val="24"/>
          <w:highlight w:val="none"/>
          <w:lang w:val="en-US" w:eastAsia="zh-CN"/>
        </w:rPr>
      </w:pPr>
      <w:bookmarkStart w:id="377" w:name="6.2.6.1源头控制措施"/>
      <w:bookmarkEnd w:id="377"/>
      <w:r>
        <w:rPr>
          <w:rFonts w:hint="eastAsia" w:ascii="Times New Roman" w:hAnsi="Times New Roman" w:eastAsia="宋体" w:cs="宋体"/>
          <w:b/>
          <w:bCs w:val="0"/>
          <w:color w:val="FF0000"/>
          <w:sz w:val="24"/>
          <w:szCs w:val="24"/>
          <w:highlight w:val="none"/>
          <w:lang w:val="en-US" w:eastAsia="zh-CN"/>
        </w:rPr>
        <w:t xml:space="preserve">7.2.6.1 源头控制措施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本项目土壤污染源头控制措施主要是减少项目废气、废水、固废等污染物的产生及排放量。本环评报告主要提出如下措施：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①企业应加强对废气治理措施的管理和维护，确保各污染物达标排放，有效减少废气污染物通过沉降或降水进入土壤的量。</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②确保项目生活污水全部合理处置，不外排，严禁产生地面漫流。</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③确保固废的处理处置量，严格固体废物合法合规处理处置。</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FF0000"/>
          <w:sz w:val="24"/>
          <w:szCs w:val="24"/>
          <w:highlight w:val="none"/>
          <w:lang w:val="en-US" w:eastAsia="zh-CN"/>
        </w:rPr>
      </w:pPr>
      <w:bookmarkStart w:id="378" w:name="6.2.6.2过程控制措施"/>
      <w:bookmarkEnd w:id="378"/>
      <w:r>
        <w:rPr>
          <w:rFonts w:hint="eastAsia" w:ascii="Times New Roman" w:hAnsi="Times New Roman" w:eastAsia="宋体" w:cs="宋体"/>
          <w:b/>
          <w:bCs w:val="0"/>
          <w:color w:val="FF0000"/>
          <w:sz w:val="24"/>
          <w:szCs w:val="24"/>
          <w:highlight w:val="none"/>
          <w:lang w:val="en-US" w:eastAsia="zh-CN"/>
        </w:rPr>
        <w:t xml:space="preserve">7.2.6.2 过程控制措施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项目针对土壤污染的途径提出相应的过程控制措施：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①企业应在占地范围内采取绿化措施，以种植具有较强吸附能力的植物为主，加大对废气污染物的吸附量，减少最终进入土壤的污染物量，从而减小对土壤的污染。</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②车辆和机械设备全部</w:t>
      </w:r>
      <w:r>
        <w:rPr>
          <w:rFonts w:hint="eastAsia" w:ascii="Times New Roman" w:hAnsi="Times New Roman" w:eastAsia="宋体" w:cs="宋体"/>
          <w:b w:val="0"/>
          <w:bCs/>
          <w:color w:val="FF0000"/>
          <w:sz w:val="24"/>
          <w:szCs w:val="24"/>
          <w:highlight w:val="none"/>
          <w:lang w:val="en-US" w:eastAsia="zh-CN"/>
        </w:rPr>
        <w:t>委托</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FF0000"/>
          <w:sz w:val="24"/>
          <w:szCs w:val="24"/>
          <w:highlight w:val="none"/>
          <w:lang w:val="en-US" w:eastAsia="zh-CN"/>
        </w:rPr>
        <w:t>修理保养，废矿物油不落地，直接由</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auto"/>
          <w:sz w:val="24"/>
          <w:szCs w:val="24"/>
          <w:highlight w:val="none"/>
          <w:lang w:val="en-US" w:eastAsia="zh-CN"/>
        </w:rPr>
        <w:t>带走。</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土壤环境影响评价自查表见表 7.2-4。</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表7.2-4 土壤环境影响评价自查表</w:t>
      </w:r>
    </w:p>
    <w:tbl>
      <w:tblPr>
        <w:tblStyle w:val="35"/>
        <w:tblW w:w="8434" w:type="dxa"/>
        <w:tblInd w:w="-45"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1979"/>
        <w:gridCol w:w="1373"/>
        <w:gridCol w:w="1361"/>
        <w:gridCol w:w="1362"/>
        <w:gridCol w:w="814"/>
        <w:gridCol w:w="106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exact"/>
        </w:trPr>
        <w:tc>
          <w:tcPr>
            <w:tcW w:w="2463"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工作内容</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完成情况</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备注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影</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响 识 别</w:t>
            </w: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影响类型</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污染影响型</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土地利用类型</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建设用地</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土地利用</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占地规模</w:t>
            </w:r>
          </w:p>
        </w:tc>
        <w:tc>
          <w:tcPr>
            <w:tcW w:w="4910" w:type="dxa"/>
            <w:gridSpan w:val="4"/>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w:t>
            </w:r>
            <w:r>
              <w:rPr>
                <w:rFonts w:hint="eastAsia" w:eastAsia="宋体" w:cs="宋体"/>
                <w:b w:val="0"/>
                <w:bCs/>
                <w:color w:val="auto"/>
                <w:sz w:val="21"/>
                <w:szCs w:val="21"/>
                <w:highlight w:val="none"/>
                <w:lang w:val="en-US" w:eastAsia="zh-CN"/>
              </w:rPr>
              <w:t>10.34</w:t>
            </w:r>
            <w:r>
              <w:rPr>
                <w:rFonts w:hint="eastAsia" w:ascii="Times New Roman" w:hAnsi="Times New Roman" w:eastAsia="宋体" w:cs="宋体"/>
                <w:b w:val="0"/>
                <w:bCs/>
                <w:color w:val="auto"/>
                <w:sz w:val="21"/>
                <w:szCs w:val="21"/>
                <w:highlight w:val="none"/>
                <w:lang w:val="en-US" w:eastAsia="zh-CN"/>
              </w:rPr>
              <w:t>）hm</w:t>
            </w:r>
            <w:r>
              <w:rPr>
                <w:rFonts w:hint="eastAsia" w:ascii="Times New Roman" w:hAnsi="Times New Roman" w:eastAsia="宋体" w:cs="宋体"/>
                <w:b w:val="0"/>
                <w:bCs/>
                <w:color w:val="auto"/>
                <w:sz w:val="21"/>
                <w:szCs w:val="21"/>
                <w:highlight w:val="none"/>
                <w:vertAlign w:val="superscript"/>
                <w:lang w:val="en-US" w:eastAsia="zh-CN"/>
              </w:rPr>
              <w:t>2</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敏感目标信息</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敏感目标（住户）方位（矿区内）距离（/）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影响途径</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大气沉降；地面漫流；垂直入渗；</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全部污染物</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TSP、CO</w:t>
            </w:r>
            <w:r>
              <w:rPr>
                <w:rFonts w:hint="eastAsia" w:ascii="Times New Roman" w:hAnsi="Times New Roman" w:eastAsia="宋体" w:cs="宋体"/>
                <w:b w:val="0"/>
                <w:bCs/>
                <w:color w:val="auto"/>
                <w:sz w:val="21"/>
                <w:szCs w:val="21"/>
                <w:highlight w:val="none"/>
                <w:vertAlign w:val="subscript"/>
                <w:lang w:val="en-US" w:eastAsia="zh-CN"/>
              </w:rPr>
              <w:t>2</w:t>
            </w:r>
            <w:r>
              <w:rPr>
                <w:rFonts w:hint="eastAsia" w:ascii="Times New Roman" w:hAnsi="Times New Roman" w:eastAsia="宋体" w:cs="宋体"/>
                <w:b w:val="0"/>
                <w:bCs/>
                <w:color w:val="auto"/>
                <w:sz w:val="21"/>
                <w:szCs w:val="21"/>
                <w:highlight w:val="none"/>
                <w:lang w:val="en-US" w:eastAsia="zh-CN"/>
              </w:rPr>
              <w:t>、烟尘、SO</w:t>
            </w:r>
            <w:r>
              <w:rPr>
                <w:rFonts w:hint="eastAsia" w:ascii="Times New Roman" w:hAnsi="Times New Roman" w:eastAsia="宋体" w:cs="宋体"/>
                <w:b w:val="0"/>
                <w:bCs/>
                <w:color w:val="auto"/>
                <w:sz w:val="21"/>
                <w:szCs w:val="21"/>
                <w:highlight w:val="none"/>
                <w:vertAlign w:val="subscript"/>
                <w:lang w:val="en-US" w:eastAsia="zh-CN"/>
              </w:rPr>
              <w:t>2</w:t>
            </w:r>
            <w:r>
              <w:rPr>
                <w:rFonts w:hint="eastAsia" w:ascii="Times New Roman" w:hAnsi="Times New Roman" w:eastAsia="宋体" w:cs="宋体"/>
                <w:b w:val="0"/>
                <w:bCs/>
                <w:color w:val="auto"/>
                <w:sz w:val="21"/>
                <w:szCs w:val="21"/>
                <w:highlight w:val="none"/>
                <w:lang w:val="en-US" w:eastAsia="zh-CN"/>
              </w:rPr>
              <w:t>、NOx</w:t>
            </w:r>
          </w:p>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生活污水、矿井涌水、淋溶水；生活垃圾、污泥、采矿废石</w:t>
            </w:r>
            <w:r>
              <w:rPr>
                <w:rFonts w:hint="eastAsia" w:eastAsia="宋体" w:cs="宋体"/>
                <w:b w:val="0"/>
                <w:bCs/>
                <w:color w:val="auto"/>
                <w:sz w:val="21"/>
                <w:szCs w:val="21"/>
                <w:highlight w:val="none"/>
                <w:lang w:val="en-US" w:eastAsia="zh-CN"/>
              </w:rPr>
              <w:t>、废机油</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特征污染因子</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石油类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所属项目环境影</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响评价项目类别</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I 类；II 类；III 类；IV 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III 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敏感程度</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敏感；较敏感；不敏感</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exact"/>
        </w:trPr>
        <w:tc>
          <w:tcPr>
            <w:tcW w:w="2463"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评价工作等级</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一级；二级；三级</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三级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状 调 查 内 容</w:t>
            </w:r>
          </w:p>
        </w:tc>
        <w:tc>
          <w:tcPr>
            <w:tcW w:w="1979"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现状检测点位</w:t>
            </w:r>
          </w:p>
        </w:tc>
        <w:tc>
          <w:tcPr>
            <w:tcW w:w="1373"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w:t>
            </w:r>
          </w:p>
        </w:tc>
        <w:tc>
          <w:tcPr>
            <w:tcW w:w="13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占地范围内</w:t>
            </w:r>
          </w:p>
        </w:tc>
        <w:tc>
          <w:tcPr>
            <w:tcW w:w="136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占地范围外</w:t>
            </w:r>
          </w:p>
        </w:tc>
        <w:tc>
          <w:tcPr>
            <w:tcW w:w="81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深度</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373"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表层样点数</w:t>
            </w:r>
          </w:p>
        </w:tc>
        <w:tc>
          <w:tcPr>
            <w:tcW w:w="13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3</w:t>
            </w:r>
          </w:p>
        </w:tc>
        <w:tc>
          <w:tcPr>
            <w:tcW w:w="136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w:t>
            </w:r>
          </w:p>
        </w:tc>
        <w:tc>
          <w:tcPr>
            <w:tcW w:w="81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0-20cm</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373"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柱状样点数</w:t>
            </w:r>
          </w:p>
        </w:tc>
        <w:tc>
          <w:tcPr>
            <w:tcW w:w="13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w:t>
            </w:r>
          </w:p>
        </w:tc>
        <w:tc>
          <w:tcPr>
            <w:tcW w:w="136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w:t>
            </w:r>
          </w:p>
        </w:tc>
        <w:tc>
          <w:tcPr>
            <w:tcW w:w="81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100cm</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现状检测因子</w:t>
            </w:r>
          </w:p>
        </w:tc>
        <w:tc>
          <w:tcPr>
            <w:tcW w:w="4910" w:type="dxa"/>
            <w:gridSpan w:val="4"/>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GB36600-2018 中基本项</w:t>
            </w:r>
            <w:r>
              <w:rPr>
                <w:rFonts w:hint="eastAsia" w:eastAsia="宋体" w:cs="宋体"/>
                <w:b w:val="0"/>
                <w:bCs/>
                <w:color w:val="auto"/>
                <w:sz w:val="21"/>
                <w:szCs w:val="21"/>
                <w:highlight w:val="none"/>
                <w:lang w:val="en-US" w:eastAsia="zh-CN"/>
              </w:rPr>
              <w:t>+石油类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状 评 价</w:t>
            </w: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评价因子</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现状监测因子</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评价标准</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GB15618-2018；GB36600-2018</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现状评价结论</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满足 GB36600-2018要求</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防</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治 措 施</w:t>
            </w: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防控措施</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土壤环境质量现状保障；源头控制；过程防控</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跟踪监测</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信息公开指标</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exact"/>
        </w:trPr>
        <w:tc>
          <w:tcPr>
            <w:tcW w:w="2463"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评价结论</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从土壤环境影响的角度，项目建设可行</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s="宋体"/>
          <w:b w:val="0"/>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宋体"/>
          <w:b w:val="0"/>
          <w:bCs/>
          <w:color w:val="auto"/>
          <w:sz w:val="24"/>
          <w:szCs w:val="24"/>
          <w:highlight w:val="none"/>
          <w:lang w:val="en-US" w:eastAsia="zh-CN"/>
        </w:rPr>
        <w:sectPr>
          <w:footerReference r:id="rId20"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ind w:left="0" w:leftChars="0" w:firstLine="0" w:firstLineChars="0"/>
        <w:jc w:val="center"/>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表 7.2-3</w:t>
      </w:r>
      <w:r>
        <w:rPr>
          <w:rFonts w:hint="eastAsia" w:ascii="Times New Roman" w:hAnsi="Times New Roman" w:eastAsia="宋体" w:cs="宋体"/>
          <w:b/>
          <w:bCs w:val="0"/>
          <w:color w:val="auto"/>
          <w:sz w:val="24"/>
          <w:szCs w:val="24"/>
          <w:highlight w:val="none"/>
          <w:lang w:val="en-US" w:eastAsia="zh-CN"/>
        </w:rPr>
        <w:tab/>
      </w:r>
      <w:r>
        <w:rPr>
          <w:rFonts w:hint="eastAsia" w:ascii="Times New Roman" w:hAnsi="Times New Roman" w:eastAsia="宋体" w:cs="宋体"/>
          <w:b/>
          <w:bCs w:val="0"/>
          <w:color w:val="auto"/>
          <w:sz w:val="24"/>
          <w:szCs w:val="24"/>
          <w:highlight w:val="none"/>
          <w:lang w:val="en-US" w:eastAsia="zh-CN"/>
        </w:rPr>
        <w:t>项目生态恢复措施一览表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3207"/>
        <w:gridCol w:w="4415"/>
        <w:gridCol w:w="1467"/>
        <w:gridCol w:w="2177"/>
        <w:gridCol w:w="2188"/>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81"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工程名称</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工程内容</w:t>
            </w:r>
          </w:p>
        </w:tc>
        <w:tc>
          <w:tcPr>
            <w:tcW w:w="146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面积（m</w:t>
            </w:r>
            <w:r>
              <w:rPr>
                <w:rFonts w:hint="eastAsia" w:ascii="Times New Roman" w:hAnsi="Times New Roman" w:eastAsia="宋体" w:cs="宋体"/>
                <w:b w:val="0"/>
                <w:bCs/>
                <w:color w:val="auto"/>
                <w:sz w:val="21"/>
                <w:szCs w:val="21"/>
                <w:highlight w:val="none"/>
                <w:vertAlign w:val="superscript"/>
                <w:lang w:val="en-US" w:eastAsia="zh-CN"/>
              </w:rPr>
              <w:t>2</w:t>
            </w:r>
            <w:r>
              <w:rPr>
                <w:rFonts w:hint="eastAsia" w:ascii="Times New Roman" w:hAnsi="Times New Roman" w:eastAsia="宋体" w:cs="宋体"/>
                <w:b w:val="0"/>
                <w:bCs/>
                <w:color w:val="auto"/>
                <w:sz w:val="21"/>
                <w:szCs w:val="21"/>
                <w:highlight w:val="none"/>
                <w:lang w:val="en-US" w:eastAsia="zh-CN"/>
              </w:rPr>
              <w:t>）</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时间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生态恢复指标</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73" w:hRule="exact"/>
        </w:trPr>
        <w:tc>
          <w:tcPr>
            <w:tcW w:w="13454" w:type="dxa"/>
            <w:gridSpan w:val="5"/>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253"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运营期生态环保措施</w:t>
            </w:r>
          </w:p>
        </w:tc>
        <w:tc>
          <w:tcPr>
            <w:tcW w:w="4415"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对采空区</w:t>
            </w:r>
            <w:r>
              <w:rPr>
                <w:rFonts w:hint="eastAsia" w:ascii="Times New Roman" w:hAnsi="Times New Roman" w:eastAsia="宋体" w:cs="宋体"/>
                <w:b w:val="0"/>
                <w:bCs/>
                <w:color w:val="FF0000"/>
                <w:sz w:val="21"/>
                <w:szCs w:val="21"/>
                <w:highlight w:val="none"/>
                <w:lang w:val="en-US" w:eastAsia="zh-CN"/>
              </w:rPr>
              <w:t>进行</w:t>
            </w:r>
            <w:r>
              <w:rPr>
                <w:rFonts w:hint="eastAsia" w:eastAsia="宋体" w:cs="宋体"/>
                <w:b w:val="0"/>
                <w:bCs/>
                <w:color w:val="FF0000"/>
                <w:sz w:val="21"/>
                <w:szCs w:val="21"/>
                <w:highlight w:val="none"/>
                <w:lang w:val="en-US" w:eastAsia="zh-CN"/>
              </w:rPr>
              <w:t>削坡、平整、</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采空区</w:t>
            </w:r>
          </w:p>
        </w:tc>
        <w:tc>
          <w:tcPr>
            <w:tcW w:w="217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251"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服务期满后地貌、植被恢复</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对</w:t>
            </w:r>
            <w:r>
              <w:rPr>
                <w:rFonts w:hint="eastAsia" w:eastAsia="宋体" w:cs="宋体"/>
                <w:b w:val="0"/>
                <w:bCs/>
                <w:color w:val="FF0000"/>
                <w:sz w:val="21"/>
                <w:szCs w:val="21"/>
                <w:highlight w:val="none"/>
                <w:lang w:val="en-US" w:eastAsia="zh-CN"/>
              </w:rPr>
              <w:t>采场</w:t>
            </w:r>
            <w:r>
              <w:rPr>
                <w:rFonts w:hint="eastAsia" w:ascii="Times New Roman" w:hAnsi="Times New Roman" w:eastAsia="宋体" w:cs="宋体"/>
                <w:b w:val="0"/>
                <w:bCs/>
                <w:color w:val="FF0000"/>
                <w:sz w:val="21"/>
                <w:szCs w:val="21"/>
                <w:highlight w:val="none"/>
                <w:lang w:val="en-US" w:eastAsia="zh-CN"/>
              </w:rPr>
              <w:t>进行</w:t>
            </w:r>
            <w:r>
              <w:rPr>
                <w:rFonts w:hint="eastAsia" w:eastAsia="宋体" w:cs="宋体"/>
                <w:b w:val="0"/>
                <w:bCs/>
                <w:color w:val="FF0000"/>
                <w:sz w:val="21"/>
                <w:szCs w:val="21"/>
                <w:highlight w:val="none"/>
                <w:lang w:val="en-US" w:eastAsia="zh-CN"/>
              </w:rPr>
              <w:t>边坡修正、</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最终未恢复区域</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kern w:val="2"/>
                <w:sz w:val="21"/>
                <w:szCs w:val="21"/>
                <w:highlight w:val="none"/>
                <w:lang w:val="en-US" w:eastAsia="zh-CN" w:bidi="ar-SA"/>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35" w:hRule="exact"/>
        </w:trPr>
        <w:tc>
          <w:tcPr>
            <w:tcW w:w="13454" w:type="dxa"/>
            <w:gridSpan w:val="5"/>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采矿工业场地</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292"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服务期满后地貌、植被恢复</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对空地进行</w:t>
            </w:r>
            <w:r>
              <w:rPr>
                <w:rFonts w:hint="eastAsia" w:eastAsia="宋体" w:cs="宋体"/>
                <w:b w:val="0"/>
                <w:bCs/>
                <w:color w:val="FF0000"/>
                <w:sz w:val="21"/>
                <w:szCs w:val="21"/>
                <w:highlight w:val="none"/>
                <w:lang w:val="en-US" w:eastAsia="zh-CN"/>
              </w:rPr>
              <w:t>平整、</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7000</w:t>
            </w:r>
          </w:p>
        </w:tc>
        <w:tc>
          <w:tcPr>
            <w:tcW w:w="217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9" w:hRule="exact"/>
        </w:trPr>
        <w:tc>
          <w:tcPr>
            <w:tcW w:w="13454" w:type="dxa"/>
            <w:gridSpan w:val="5"/>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表土</w:t>
            </w:r>
            <w:r>
              <w:rPr>
                <w:rFonts w:hint="eastAsia" w:ascii="Times New Roman" w:hAnsi="Times New Roman" w:eastAsia="宋体" w:cs="宋体"/>
                <w:b w:val="0"/>
                <w:bCs/>
                <w:color w:val="FF0000"/>
                <w:sz w:val="21"/>
                <w:szCs w:val="21"/>
                <w:highlight w:val="none"/>
                <w:lang w:val="en-US" w:eastAsia="zh-CN"/>
              </w:rPr>
              <w:t>堆场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409"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运营期生态环保措施</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本项目表土堆场退场时，对表土堆场进行清理、地表土地平整及覆土，覆土充分利用已剥离的表土，覆土厚度为0.3m。</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1000</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00" w:hRule="exact"/>
        </w:trPr>
        <w:tc>
          <w:tcPr>
            <w:tcW w:w="13454" w:type="dxa"/>
            <w:gridSpan w:val="5"/>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成品</w:t>
            </w:r>
            <w:r>
              <w:rPr>
                <w:rFonts w:hint="eastAsia" w:ascii="Times New Roman" w:hAnsi="Times New Roman" w:eastAsia="宋体" w:cs="宋体"/>
                <w:b w:val="0"/>
                <w:bCs/>
                <w:color w:val="FF0000"/>
                <w:sz w:val="21"/>
                <w:szCs w:val="21"/>
                <w:highlight w:val="none"/>
                <w:lang w:val="en-US" w:eastAsia="zh-CN"/>
              </w:rPr>
              <w:t>堆场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683"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运营期生态环保措施</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及时清运</w:t>
            </w:r>
          </w:p>
        </w:tc>
        <w:tc>
          <w:tcPr>
            <w:tcW w:w="146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w:t>
            </w:r>
          </w:p>
        </w:tc>
        <w:tc>
          <w:tcPr>
            <w:tcW w:w="217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w:t>
            </w:r>
          </w:p>
        </w:tc>
        <w:tc>
          <w:tcPr>
            <w:tcW w:w="218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336"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服务期满后地貌、植被恢复</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整平</w:t>
            </w:r>
            <w:r>
              <w:rPr>
                <w:rFonts w:hint="eastAsia" w:eastAsia="宋体" w:cs="宋体"/>
                <w:b w:val="0"/>
                <w:bCs/>
                <w:color w:val="FF0000"/>
                <w:sz w:val="21"/>
                <w:szCs w:val="21"/>
                <w:highlight w:val="none"/>
                <w:lang w:val="en-US" w:eastAsia="zh-CN"/>
              </w:rPr>
              <w:t>、</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2650</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bl>
    <w:p>
      <w:pPr>
        <w:ind w:left="0" w:leftChars="0" w:firstLine="0" w:firstLineChars="0"/>
        <w:rPr>
          <w:rFonts w:hint="eastAsia" w:ascii="Times New Roman" w:hAnsi="Times New Roman" w:eastAsia="宋体" w:cs="宋体"/>
          <w:b w:val="0"/>
          <w:bCs/>
          <w:color w:val="auto"/>
          <w:sz w:val="24"/>
          <w:szCs w:val="24"/>
          <w:highlight w:val="yellow"/>
          <w:lang w:val="en-US" w:eastAsia="zh-CN"/>
        </w:rPr>
        <w:sectPr>
          <w:headerReference r:id="rId21" w:type="default"/>
          <w:footerReference r:id="rId22" w:type="default"/>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45" w:charSpace="0"/>
        </w:sectPr>
      </w:pP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79" w:name="6.2.6土壤污染防治措施"/>
      <w:bookmarkEnd w:id="379"/>
      <w:bookmarkStart w:id="380" w:name="6.3环保措施、投资及环保验收"/>
      <w:bookmarkEnd w:id="380"/>
      <w:bookmarkStart w:id="381" w:name="_bookmark123"/>
      <w:bookmarkEnd w:id="381"/>
      <w:bookmarkStart w:id="382" w:name="_bookmark124"/>
      <w:bookmarkEnd w:id="382"/>
      <w:bookmarkStart w:id="383" w:name="_Toc6482"/>
      <w:r>
        <w:rPr>
          <w:rFonts w:hint="eastAsia" w:ascii="Times New Roman" w:hAnsi="Times New Roman" w:eastAsia="宋体"/>
          <w:b/>
          <w:bCs w:val="0"/>
          <w:color w:val="auto"/>
          <w:highlight w:val="none"/>
          <w:lang w:val="en-US" w:eastAsia="zh-CN"/>
        </w:rPr>
        <w:t>7.3 环保措施、投资及环保验收</w:t>
      </w:r>
      <w:bookmarkEnd w:id="383"/>
    </w:p>
    <w:p>
      <w:pPr>
        <w:ind w:left="0" w:leftChars="0" w:firstLine="480" w:firstLineChars="200"/>
        <w:rPr>
          <w:rFonts w:hint="default"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项目环保措施投资估算及验收见表 7.3-1。</w:t>
      </w:r>
    </w:p>
    <w:p>
      <w:pPr>
        <w:ind w:left="0" w:leftChars="0" w:firstLine="0" w:firstLineChars="0"/>
        <w:jc w:val="center"/>
        <w:rPr>
          <w:rFonts w:hint="eastAsia"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表7.3-1</w:t>
      </w:r>
      <w:r>
        <w:rPr>
          <w:rFonts w:hint="eastAsia" w:ascii="Times New Roman" w:hAnsi="Times New Roman" w:eastAsia="宋体" w:cs="宋体"/>
          <w:b/>
          <w:bCs w:val="0"/>
          <w:color w:val="FF0000"/>
          <w:sz w:val="24"/>
          <w:szCs w:val="24"/>
          <w:highlight w:val="none"/>
          <w:lang w:val="en-US" w:eastAsia="zh-CN"/>
        </w:rPr>
        <w:tab/>
      </w:r>
      <w:r>
        <w:rPr>
          <w:rFonts w:hint="eastAsia" w:ascii="Times New Roman" w:hAnsi="Times New Roman" w:eastAsia="宋体" w:cs="宋体"/>
          <w:b/>
          <w:bCs w:val="0"/>
          <w:color w:val="FF0000"/>
          <w:sz w:val="24"/>
          <w:szCs w:val="24"/>
          <w:highlight w:val="none"/>
          <w:lang w:val="en-US" w:eastAsia="zh-CN"/>
        </w:rPr>
        <w:t>项目环保措施投资及验收一览表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6"/>
        <w:gridCol w:w="1042"/>
        <w:gridCol w:w="1546"/>
        <w:gridCol w:w="5158"/>
        <w:gridCol w:w="3865"/>
        <w:gridCol w:w="176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exact"/>
        </w:trPr>
        <w:tc>
          <w:tcPr>
            <w:tcW w:w="41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序 号</w:t>
            </w:r>
          </w:p>
        </w:tc>
        <w:tc>
          <w:tcPr>
            <w:tcW w:w="2588"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污染防治项目</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采取措施及工程</w:t>
            </w:r>
          </w:p>
        </w:tc>
        <w:tc>
          <w:tcPr>
            <w:tcW w:w="386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验收标准</w:t>
            </w:r>
          </w:p>
        </w:tc>
        <w:tc>
          <w:tcPr>
            <w:tcW w:w="176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实施时间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1</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水污染防 治</w:t>
            </w: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洗砂废水</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经沉淀池沉淀处理后，回用于洗砂工序</w:t>
            </w:r>
          </w:p>
        </w:tc>
        <w:tc>
          <w:tcPr>
            <w:tcW w:w="3865"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全部回用于洗沙工序，不外排</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生活污水</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经化粪池处理后，定期委托第三方拉运</w:t>
            </w:r>
          </w:p>
        </w:tc>
        <w:tc>
          <w:tcPr>
            <w:tcW w:w="386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w:t>
            </w: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0"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2</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大气污染 防治</w:t>
            </w: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采砂场</w:t>
            </w:r>
            <w:r>
              <w:rPr>
                <w:rFonts w:hint="eastAsia" w:ascii="Times New Roman" w:hAnsi="Times New Roman" w:eastAsia="宋体" w:cs="宋体"/>
                <w:b w:val="0"/>
                <w:bCs/>
                <w:color w:val="FF0000"/>
                <w:sz w:val="21"/>
                <w:szCs w:val="21"/>
                <w:highlight w:val="none"/>
                <w:lang w:val="en-US" w:eastAsia="zh-CN"/>
              </w:rPr>
              <w:t>、</w:t>
            </w:r>
            <w:r>
              <w:rPr>
                <w:rFonts w:hint="eastAsia" w:eastAsia="宋体" w:cs="宋体"/>
                <w:b w:val="0"/>
                <w:bCs/>
                <w:color w:val="FF0000"/>
                <w:sz w:val="21"/>
                <w:szCs w:val="21"/>
                <w:highlight w:val="none"/>
                <w:lang w:val="en-US" w:eastAsia="zh-CN"/>
              </w:rPr>
              <w:t>成品</w:t>
            </w:r>
            <w:r>
              <w:rPr>
                <w:rFonts w:hint="eastAsia" w:ascii="Times New Roman" w:hAnsi="Times New Roman" w:eastAsia="宋体" w:cs="宋体"/>
                <w:b w:val="0"/>
                <w:bCs/>
                <w:color w:val="FF0000"/>
                <w:sz w:val="21"/>
                <w:szCs w:val="21"/>
                <w:highlight w:val="none"/>
                <w:lang w:val="en-US" w:eastAsia="zh-CN"/>
              </w:rPr>
              <w:t>堆场</w:t>
            </w:r>
            <w:r>
              <w:rPr>
                <w:rFonts w:hint="eastAsia" w:eastAsia="宋体" w:cs="宋体"/>
                <w:b w:val="0"/>
                <w:bCs/>
                <w:color w:val="FF0000"/>
                <w:sz w:val="21"/>
                <w:szCs w:val="21"/>
                <w:highlight w:val="none"/>
                <w:lang w:val="en-US" w:eastAsia="zh-CN"/>
              </w:rPr>
              <w:t>扬</w:t>
            </w:r>
            <w:r>
              <w:rPr>
                <w:rFonts w:hint="eastAsia" w:ascii="Times New Roman" w:hAnsi="Times New Roman" w:eastAsia="宋体" w:cs="宋体"/>
                <w:b w:val="0"/>
                <w:bCs/>
                <w:color w:val="FF0000"/>
                <w:sz w:val="21"/>
                <w:szCs w:val="21"/>
                <w:highlight w:val="none"/>
                <w:lang w:val="en-US" w:eastAsia="zh-CN"/>
              </w:rPr>
              <w:t>尘</w:t>
            </w:r>
            <w:r>
              <w:rPr>
                <w:rFonts w:hint="eastAsia" w:eastAsia="宋体" w:cs="宋体"/>
                <w:b w:val="0"/>
                <w:bCs/>
                <w:color w:val="FF0000"/>
                <w:sz w:val="21"/>
                <w:szCs w:val="21"/>
                <w:highlight w:val="none"/>
                <w:lang w:val="en-US" w:eastAsia="zh-CN"/>
              </w:rPr>
              <w:t>、回填区作业面、筛分工序</w:t>
            </w:r>
          </w:p>
        </w:tc>
        <w:tc>
          <w:tcPr>
            <w:tcW w:w="5158" w:type="dxa"/>
            <w:vMerge w:val="restart"/>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道路、回填区作业面采用</w:t>
            </w:r>
            <w:r>
              <w:rPr>
                <w:rFonts w:hint="eastAsia" w:ascii="Times New Roman" w:hAnsi="Times New Roman" w:eastAsia="宋体" w:cs="宋体"/>
                <w:b w:val="0"/>
                <w:bCs/>
                <w:color w:val="FF0000"/>
                <w:sz w:val="21"/>
                <w:szCs w:val="21"/>
                <w:highlight w:val="none"/>
                <w:lang w:val="en-US" w:eastAsia="zh-CN"/>
              </w:rPr>
              <w:t>洒水车</w:t>
            </w:r>
            <w:r>
              <w:rPr>
                <w:rFonts w:hint="eastAsia" w:eastAsia="宋体" w:cs="宋体"/>
                <w:b w:val="0"/>
                <w:bCs/>
                <w:color w:val="FF0000"/>
                <w:sz w:val="21"/>
                <w:szCs w:val="21"/>
                <w:highlight w:val="none"/>
                <w:lang w:val="en-US" w:eastAsia="zh-CN"/>
              </w:rPr>
              <w:t>洒水抑尘</w:t>
            </w:r>
            <w:r>
              <w:rPr>
                <w:rFonts w:hint="eastAsia" w:ascii="Times New Roman" w:hAnsi="Times New Roman" w:eastAsia="宋体" w:cs="宋体"/>
                <w:b w:val="0"/>
                <w:bCs/>
                <w:color w:val="FF0000"/>
                <w:sz w:val="21"/>
                <w:szCs w:val="21"/>
                <w:highlight w:val="none"/>
                <w:lang w:val="en-US" w:eastAsia="zh-CN"/>
              </w:rPr>
              <w:t>，定期洒水每天至少洒水2次以上</w:t>
            </w:r>
            <w:r>
              <w:rPr>
                <w:rFonts w:hint="eastAsia" w:eastAsia="宋体" w:cs="宋体"/>
                <w:b w:val="0"/>
                <w:bCs/>
                <w:color w:val="FF0000"/>
                <w:sz w:val="21"/>
                <w:szCs w:val="21"/>
                <w:highlight w:val="none"/>
                <w:lang w:val="en-US" w:eastAsia="zh-CN"/>
              </w:rPr>
              <w:t>；采场和筛分工序采用雾炮机喷雾降尘；成品堆场采用苫盖措施抑尘</w:t>
            </w:r>
          </w:p>
        </w:tc>
        <w:tc>
          <w:tcPr>
            <w:tcW w:w="3865"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《大气污染物综合排放标准》 (GB16297-1996)中新污染源无组 织排放监控限值</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道路</w:t>
            </w:r>
            <w:r>
              <w:rPr>
                <w:rFonts w:hint="eastAsia" w:eastAsia="宋体" w:cs="宋体"/>
                <w:b w:val="0"/>
                <w:bCs/>
                <w:color w:val="FF0000"/>
                <w:sz w:val="21"/>
                <w:szCs w:val="21"/>
                <w:highlight w:val="none"/>
                <w:lang w:val="en-US" w:eastAsia="zh-CN"/>
              </w:rPr>
              <w:t>运输扬尘</w:t>
            </w:r>
          </w:p>
        </w:tc>
        <w:tc>
          <w:tcPr>
            <w:tcW w:w="5158"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exact"/>
        </w:trPr>
        <w:tc>
          <w:tcPr>
            <w:tcW w:w="41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3</w:t>
            </w:r>
          </w:p>
        </w:tc>
        <w:tc>
          <w:tcPr>
            <w:tcW w:w="104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噪声防治</w:t>
            </w: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采矿工业场地</w:t>
            </w:r>
            <w:r>
              <w:rPr>
                <w:rFonts w:hint="eastAsia" w:eastAsia="宋体" w:cs="宋体"/>
                <w:b w:val="0"/>
                <w:bCs/>
                <w:color w:val="FF0000"/>
                <w:sz w:val="21"/>
                <w:szCs w:val="21"/>
                <w:highlight w:val="none"/>
                <w:lang w:val="en-US" w:eastAsia="zh-CN"/>
              </w:rPr>
              <w:t>、运输车辆</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采取</w:t>
            </w:r>
            <w:r>
              <w:rPr>
                <w:rFonts w:hint="eastAsia" w:ascii="Times New Roman" w:hAnsi="Times New Roman" w:eastAsia="宋体" w:cs="宋体"/>
                <w:b w:val="0"/>
                <w:bCs/>
                <w:color w:val="FF0000"/>
                <w:sz w:val="21"/>
                <w:szCs w:val="21"/>
                <w:highlight w:val="none"/>
                <w:lang w:val="en-US" w:eastAsia="zh-CN"/>
              </w:rPr>
              <w:t>基础减震、隔声处理</w:t>
            </w:r>
            <w:r>
              <w:rPr>
                <w:rFonts w:hint="eastAsia" w:eastAsia="宋体" w:cs="宋体"/>
                <w:b w:val="0"/>
                <w:bCs/>
                <w:color w:val="FF0000"/>
                <w:sz w:val="21"/>
                <w:szCs w:val="21"/>
                <w:highlight w:val="none"/>
                <w:lang w:val="en-US" w:eastAsia="zh-CN"/>
              </w:rPr>
              <w:t>，车辆减速慢行</w:t>
            </w:r>
          </w:p>
        </w:tc>
        <w:tc>
          <w:tcPr>
            <w:tcW w:w="386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《工业企业厂界环境噪声排放标</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准》2 类标准</w:t>
            </w:r>
          </w:p>
        </w:tc>
        <w:tc>
          <w:tcPr>
            <w:tcW w:w="176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4</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生态保护</w:t>
            </w: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办公生活区周</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围</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空地进行绿化，服务期满后空地进行植被恢复</w:t>
            </w:r>
          </w:p>
        </w:tc>
        <w:tc>
          <w:tcPr>
            <w:tcW w:w="3865"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防治水土流失、恢复植被、保持生态系统稳定性</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采矿工业场地</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周围</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空地进行覆土、绿化，服务期满后：整平覆土</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恢复植被</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成品堆场</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终期覆土整地恢复植被</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default"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道路</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道路进行压实，服务期满后，平整、覆土、植被恢复</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表土</w:t>
            </w:r>
            <w:r>
              <w:rPr>
                <w:rFonts w:hint="eastAsia" w:ascii="Times New Roman" w:hAnsi="Times New Roman" w:eastAsia="宋体" w:cs="宋体"/>
                <w:b w:val="0"/>
                <w:bCs/>
                <w:color w:val="FF0000"/>
                <w:sz w:val="21"/>
                <w:szCs w:val="21"/>
                <w:highlight w:val="none"/>
                <w:lang w:val="en-US" w:eastAsia="zh-CN"/>
              </w:rPr>
              <w:t>堆场</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终期覆土整地恢复植被</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5</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固体废弃 物污染防 治</w:t>
            </w: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沉淀</w:t>
            </w:r>
            <w:r>
              <w:rPr>
                <w:rFonts w:hint="eastAsia" w:eastAsia="宋体" w:cs="宋体"/>
                <w:b w:val="0"/>
                <w:bCs/>
                <w:color w:val="FF0000"/>
                <w:sz w:val="21"/>
                <w:szCs w:val="21"/>
                <w:highlight w:val="none"/>
                <w:lang w:val="en-US" w:eastAsia="zh-CN"/>
              </w:rPr>
              <w:t>池底泥</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沉淀</w:t>
            </w:r>
            <w:r>
              <w:rPr>
                <w:rFonts w:hint="eastAsia" w:eastAsia="宋体" w:cs="宋体"/>
                <w:b w:val="0"/>
                <w:bCs/>
                <w:color w:val="FF0000"/>
                <w:sz w:val="21"/>
                <w:szCs w:val="21"/>
                <w:highlight w:val="none"/>
                <w:lang w:val="en-US" w:eastAsia="zh-CN"/>
              </w:rPr>
              <w:t>池底泥经</w:t>
            </w:r>
            <w:r>
              <w:rPr>
                <w:rFonts w:hint="eastAsia" w:ascii="Times New Roman" w:hAnsi="Times New Roman" w:eastAsia="宋体" w:cs="宋体"/>
                <w:b w:val="0"/>
                <w:bCs/>
                <w:color w:val="FF0000"/>
                <w:sz w:val="21"/>
                <w:szCs w:val="21"/>
                <w:highlight w:val="none"/>
                <w:lang w:val="en-US" w:eastAsia="zh-CN"/>
              </w:rPr>
              <w:t>脱水后，回填至采空区</w:t>
            </w:r>
          </w:p>
        </w:tc>
        <w:tc>
          <w:tcPr>
            <w:tcW w:w="3865" w:type="dxa"/>
            <w:vMerge w:val="restart"/>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《一般工业固体废物贮存</w:t>
            </w:r>
            <w:r>
              <w:rPr>
                <w:rFonts w:hint="eastAsia" w:eastAsia="宋体" w:cs="宋体"/>
                <w:b w:val="0"/>
                <w:bCs/>
                <w:color w:val="FF0000"/>
                <w:sz w:val="21"/>
                <w:szCs w:val="21"/>
                <w:highlight w:val="none"/>
                <w:lang w:val="en-US" w:eastAsia="zh-CN"/>
              </w:rPr>
              <w:t>和填埋</w:t>
            </w:r>
            <w:r>
              <w:rPr>
                <w:rFonts w:hint="eastAsia" w:ascii="Times New Roman" w:hAnsi="Times New Roman" w:eastAsia="宋体" w:cs="宋体"/>
                <w:b w:val="0"/>
                <w:bCs/>
                <w:color w:val="FF0000"/>
                <w:sz w:val="21"/>
                <w:szCs w:val="21"/>
                <w:highlight w:val="none"/>
                <w:lang w:val="en-US" w:eastAsia="zh-CN"/>
              </w:rPr>
              <w:t xml:space="preserve"> 污染控制标准》（GB18599-20</w:t>
            </w:r>
            <w:r>
              <w:rPr>
                <w:rFonts w:hint="eastAsia" w:eastAsia="宋体" w:cs="宋体"/>
                <w:b w:val="0"/>
                <w:bCs/>
                <w:color w:val="FF0000"/>
                <w:sz w:val="21"/>
                <w:szCs w:val="21"/>
                <w:highlight w:val="none"/>
                <w:lang w:val="en-US" w:eastAsia="zh-CN"/>
              </w:rPr>
              <w:t>20）</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废石子</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全部回填到采空区</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生活垃圾</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集中收集、按环卫部门要求统一处理</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bl>
    <w:p>
      <w:pPr>
        <w:ind w:left="0" w:leftChars="0" w:firstLine="0" w:firstLineChars="0"/>
        <w:rPr>
          <w:rFonts w:hint="eastAsia" w:ascii="Times New Roman" w:hAnsi="Times New Roman" w:eastAsia="宋体" w:cs="宋体"/>
          <w:b w:val="0"/>
          <w:bCs/>
          <w:color w:val="FF0000"/>
          <w:sz w:val="24"/>
          <w:szCs w:val="24"/>
          <w:highlight w:val="none"/>
          <w:lang w:val="en-US" w:eastAsia="zh-CN"/>
        </w:rPr>
        <w:sectPr>
          <w:headerReference r:id="rId23" w:type="default"/>
          <w:footerReference r:id="rId24" w:type="default"/>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45"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b/>
          <w:bCs w:val="0"/>
          <w:color w:val="auto"/>
          <w:sz w:val="36"/>
          <w:szCs w:val="30"/>
          <w:highlight w:val="none"/>
          <w:lang w:val="en-US" w:eastAsia="zh-CN"/>
        </w:rPr>
      </w:pPr>
      <w:bookmarkStart w:id="384" w:name="_Toc32094"/>
      <w:r>
        <w:rPr>
          <w:rFonts w:hint="eastAsia" w:ascii="Times New Roman" w:hAnsi="Times New Roman"/>
          <w:b/>
          <w:bCs w:val="0"/>
          <w:color w:val="auto"/>
          <w:sz w:val="36"/>
          <w:szCs w:val="30"/>
          <w:highlight w:val="none"/>
          <w:lang w:val="en-US" w:eastAsia="zh-CN"/>
        </w:rPr>
        <w:t>8</w:t>
      </w:r>
      <w:r>
        <w:rPr>
          <w:rFonts w:hint="eastAsia" w:ascii="Times New Roman" w:hAnsi="Times New Roman"/>
          <w:b/>
          <w:bCs w:val="0"/>
          <w:color w:val="auto"/>
          <w:sz w:val="36"/>
          <w:szCs w:val="30"/>
          <w:highlight w:val="none"/>
          <w:lang w:val="en-US" w:eastAsia="zh-CN"/>
        </w:rPr>
        <w:tab/>
      </w:r>
      <w:r>
        <w:rPr>
          <w:rFonts w:hint="eastAsia" w:ascii="Times New Roman" w:hAnsi="Times New Roman"/>
          <w:b/>
          <w:bCs w:val="0"/>
          <w:color w:val="auto"/>
          <w:sz w:val="36"/>
          <w:szCs w:val="30"/>
          <w:highlight w:val="none"/>
          <w:lang w:val="en-US" w:eastAsia="zh-CN"/>
        </w:rPr>
        <w:t>环境影响经济损益分析</w:t>
      </w:r>
      <w:bookmarkEnd w:id="38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环境影响经济损益分析是建设项目进行决策的重要依据之一。任何项目的建 设，除了它本身取得的经济效益和带来的社会效益外，项目对环境总会带来一定的影响。因此，权衡环境损益与经济发展之间的平衡就十分重要。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境影响经济损益分析的主要任务是衡量建设项目需要投入的环保投资及所能收到的环境保护效果，通过对环境保护措施经济合理性分析及评价，更合理的选择环保措施，从而促进建设项目更好的实现环境效益、经济效益与社会效益的统一。但目前的技术水平而言，要将环境的损益具体定量化是十分困难的，因此本章节采用定性与定量相结合的方法对项目的环境影响经济损益进行简要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的建设运营，使当地的自然环境遭到破坏，为防治环境污染，减缓或防止环境质量下降，维护生态平衡，建设单位应支出一定的环境保护费用。通过均衡项目效益和环境治理产生的收益，做到选厂经济的可持续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385" w:name="_bookmark126"/>
      <w:bookmarkEnd w:id="385"/>
      <w:bookmarkStart w:id="386" w:name="7.1经济效益简析"/>
      <w:bookmarkEnd w:id="386"/>
      <w:r>
        <w:rPr>
          <w:rFonts w:hint="eastAsia" w:ascii="Times New Roman" w:hAnsi="Times New Roman" w:eastAsia="宋体" w:cs="Times New Roman"/>
          <w:b/>
          <w:bCs w:val="0"/>
          <w:color w:val="auto"/>
          <w:kern w:val="2"/>
          <w:sz w:val="32"/>
          <w:szCs w:val="32"/>
          <w:highlight w:val="none"/>
          <w:lang w:val="en-US" w:eastAsia="zh-CN" w:bidi="ar-SA"/>
        </w:rPr>
        <w:t>8.1 经济效益简析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本项目总投资估算为</w:t>
      </w:r>
      <w:r>
        <w:rPr>
          <w:rFonts w:hint="eastAsia" w:eastAsia="宋体" w:cs="宋体"/>
          <w:b w:val="0"/>
          <w:bCs/>
          <w:color w:val="auto"/>
          <w:sz w:val="24"/>
          <w:szCs w:val="24"/>
          <w:highlight w:val="none"/>
          <w:lang w:val="en-US" w:eastAsia="zh-CN"/>
        </w:rPr>
        <w:t>144.29</w:t>
      </w:r>
      <w:r>
        <w:rPr>
          <w:rFonts w:hint="eastAsia" w:ascii="Times New Roman" w:hAnsi="Times New Roman" w:eastAsia="宋体" w:cs="宋体"/>
          <w:b w:val="0"/>
          <w:bCs/>
          <w:color w:val="auto"/>
          <w:sz w:val="24"/>
          <w:szCs w:val="24"/>
          <w:highlight w:val="none"/>
          <w:lang w:val="en-US" w:eastAsia="zh-CN"/>
        </w:rPr>
        <w:t>万元，达产后实现年均利润总额</w:t>
      </w:r>
      <w:r>
        <w:rPr>
          <w:rFonts w:hint="eastAsia" w:eastAsia="宋体" w:cs="宋体"/>
          <w:b w:val="0"/>
          <w:bCs/>
          <w:color w:val="auto"/>
          <w:sz w:val="24"/>
          <w:szCs w:val="24"/>
          <w:highlight w:val="none"/>
          <w:lang w:val="en-US" w:eastAsia="zh-CN"/>
        </w:rPr>
        <w:t>95.59</w:t>
      </w:r>
      <w:r>
        <w:rPr>
          <w:rFonts w:hint="eastAsia" w:ascii="Times New Roman" w:hAnsi="Times New Roman" w:eastAsia="宋体" w:cs="宋体"/>
          <w:b w:val="0"/>
          <w:bCs/>
          <w:color w:val="auto"/>
          <w:sz w:val="24"/>
          <w:szCs w:val="24"/>
          <w:highlight w:val="none"/>
          <w:lang w:val="en-US" w:eastAsia="zh-CN"/>
        </w:rPr>
        <w:t>万元，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税后静态投资期为1.</w:t>
      </w:r>
      <w:r>
        <w:rPr>
          <w:rFonts w:hint="eastAsia" w:eastAsia="宋体" w:cs="宋体"/>
          <w:b w:val="0"/>
          <w:bCs/>
          <w:color w:val="auto"/>
          <w:sz w:val="24"/>
          <w:szCs w:val="24"/>
          <w:highlight w:val="none"/>
          <w:lang w:val="en-US" w:eastAsia="zh-CN"/>
        </w:rPr>
        <w:t>26</w:t>
      </w:r>
      <w:r>
        <w:rPr>
          <w:rFonts w:hint="eastAsia" w:ascii="Times New Roman" w:hAnsi="Times New Roman" w:eastAsia="宋体" w:cs="宋体"/>
          <w:b w:val="0"/>
          <w:bCs/>
          <w:color w:val="auto"/>
          <w:sz w:val="24"/>
          <w:szCs w:val="24"/>
          <w:highlight w:val="none"/>
          <w:lang w:val="en-US" w:eastAsia="zh-CN"/>
        </w:rPr>
        <w:t>年，对当地的经济发展将起到一定的推动作用，同时本项目劳动定员为</w:t>
      </w:r>
      <w:r>
        <w:rPr>
          <w:rFonts w:hint="eastAsia" w:eastAsia="宋体" w:cs="宋体"/>
          <w:b w:val="0"/>
          <w:bCs/>
          <w:color w:val="auto"/>
          <w:sz w:val="24"/>
          <w:szCs w:val="24"/>
          <w:highlight w:val="none"/>
          <w:lang w:val="en-US" w:eastAsia="zh-CN"/>
        </w:rPr>
        <w:t>12</w:t>
      </w:r>
      <w:r>
        <w:rPr>
          <w:rFonts w:hint="eastAsia" w:ascii="Times New Roman" w:hAnsi="Times New Roman" w:eastAsia="宋体" w:cs="宋体"/>
          <w:b w:val="0"/>
          <w:bCs/>
          <w:color w:val="auto"/>
          <w:sz w:val="24"/>
          <w:szCs w:val="24"/>
          <w:highlight w:val="none"/>
          <w:lang w:val="en-US" w:eastAsia="zh-CN"/>
        </w:rPr>
        <w:t>人，可以解决当地部分村民的就业问题，并在扩大内需、刺激消费等方面起到积极的作用，与国家的宏观政策相一致。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387" w:name="7.2环境效益分析"/>
      <w:bookmarkEnd w:id="387"/>
      <w:bookmarkStart w:id="388" w:name="_bookmark127"/>
      <w:bookmarkEnd w:id="388"/>
      <w:r>
        <w:rPr>
          <w:rFonts w:hint="eastAsia" w:ascii="Times New Roman" w:hAnsi="Times New Roman" w:eastAsia="宋体" w:cs="Times New Roman"/>
          <w:b/>
          <w:bCs w:val="0"/>
          <w:color w:val="auto"/>
          <w:kern w:val="2"/>
          <w:sz w:val="32"/>
          <w:szCs w:val="32"/>
          <w:highlight w:val="none"/>
          <w:lang w:val="en-US" w:eastAsia="zh-CN" w:bidi="ar-SA"/>
        </w:rPr>
        <w:t>8.2 环境效益分析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建设期间和投入运行后，将对周围环境空气、声环境、生态环境质量带来一定程度的负面影响。在采取了本环评报告要求的污染防治和生态保护措施后，将有效控制项目实施所造成的环境影响，使项目区环境质量不因该项目的实施而破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89" w:name="_bookmark128"/>
      <w:bookmarkEnd w:id="389"/>
      <w:bookmarkStart w:id="390" w:name="7.2.1环境工程投资估算"/>
      <w:bookmarkEnd w:id="390"/>
      <w:bookmarkStart w:id="391" w:name="_Toc22862"/>
      <w:r>
        <w:rPr>
          <w:rFonts w:hint="eastAsia" w:ascii="Times New Roman" w:hAnsi="Times New Roman" w:eastAsia="宋体"/>
          <w:b/>
          <w:bCs w:val="0"/>
          <w:color w:val="auto"/>
          <w:sz w:val="30"/>
          <w:szCs w:val="30"/>
          <w:highlight w:val="none"/>
          <w:lang w:val="en-US" w:eastAsia="zh-CN"/>
        </w:rPr>
        <w:t>8.2.1 环境工程投资估算</w:t>
      </w:r>
      <w:bookmarkEnd w:id="39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建设项目环境保护设计规定》第六十三条指出：“凡属于污染治理和保护环境所需的装置、设备、监测手段和工程设施等均属于环境保护设施”、“凡有环境保护设施的建设项目均应列出环境保护设施的投资概算”。据此规定，本拟建工程环境保护设施主要有：废气污染治理设施、噪声污染治理设施、废水污染防治措施、固体废物处置设施等，具体环保投资见表 </w:t>
      </w:r>
      <w:r>
        <w:rPr>
          <w:rFonts w:hint="eastAsia" w:eastAsia="宋体" w:cs="宋体"/>
          <w:b w:val="0"/>
          <w:bCs/>
          <w:color w:val="auto"/>
          <w:sz w:val="24"/>
          <w:szCs w:val="24"/>
          <w:highlight w:val="none"/>
          <w:lang w:val="en-US" w:eastAsia="zh-CN"/>
        </w:rPr>
        <w:t>8.2</w:t>
      </w:r>
      <w:r>
        <w:rPr>
          <w:rFonts w:hint="eastAsia" w:ascii="Times New Roman" w:hAnsi="Times New Roman" w:eastAsia="宋体" w:cs="宋体"/>
          <w:b w:val="0"/>
          <w:bCs/>
          <w:color w:val="auto"/>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本项目环保投资共计</w:t>
      </w:r>
      <w:r>
        <w:rPr>
          <w:rFonts w:hint="eastAsia" w:eastAsia="宋体" w:cs="宋体"/>
          <w:b w:val="0"/>
          <w:bCs/>
          <w:color w:val="FF0000"/>
          <w:sz w:val="24"/>
          <w:szCs w:val="24"/>
          <w:highlight w:val="none"/>
          <w:lang w:val="en-US" w:eastAsia="zh-CN"/>
        </w:rPr>
        <w:t>23.5</w:t>
      </w:r>
      <w:r>
        <w:rPr>
          <w:rFonts w:hint="eastAsia" w:ascii="Times New Roman" w:hAnsi="Times New Roman" w:eastAsia="宋体" w:cs="宋体"/>
          <w:b w:val="0"/>
          <w:bCs/>
          <w:color w:val="FF0000"/>
          <w:sz w:val="24"/>
          <w:szCs w:val="24"/>
          <w:highlight w:val="none"/>
          <w:lang w:val="en-US" w:eastAsia="zh-CN"/>
        </w:rPr>
        <w:t>万元，占总投资的</w:t>
      </w:r>
      <w:r>
        <w:rPr>
          <w:rFonts w:hint="eastAsia" w:eastAsia="宋体" w:cs="宋体"/>
          <w:b w:val="0"/>
          <w:bCs/>
          <w:color w:val="FF0000"/>
          <w:sz w:val="24"/>
          <w:szCs w:val="24"/>
          <w:highlight w:val="none"/>
          <w:lang w:val="en-US" w:eastAsia="zh-CN"/>
        </w:rPr>
        <w:t>16.29</w:t>
      </w:r>
      <w:r>
        <w:rPr>
          <w:rFonts w:hint="eastAsia" w:ascii="Times New Roman" w:hAnsi="Times New Roman" w:eastAsia="宋体" w:cs="宋体"/>
          <w:b w:val="0"/>
          <w:bCs/>
          <w:color w:val="FF0000"/>
          <w:sz w:val="24"/>
          <w:szCs w:val="24"/>
          <w:highlight w:val="none"/>
          <w:lang w:val="en-US" w:eastAsia="zh-CN"/>
        </w:rPr>
        <w:t>%。</w:t>
      </w:r>
    </w:p>
    <w:p>
      <w:pPr>
        <w:pStyle w:val="17"/>
        <w:spacing w:line="360" w:lineRule="auto"/>
        <w:ind w:left="480" w:firstLine="480"/>
        <w:jc w:val="center"/>
        <w:rPr>
          <w:rStyle w:val="122"/>
          <w:rFonts w:hint="eastAsia" w:ascii="Times New Roman" w:hAnsi="Times New Roman"/>
          <w:color w:val="FF0000"/>
          <w:highlight w:val="none"/>
        </w:rPr>
      </w:pPr>
      <w:bookmarkStart w:id="392" w:name="_Toc142542968"/>
      <w:bookmarkStart w:id="393" w:name="_Toc29171754"/>
      <w:bookmarkStart w:id="394" w:name="_Toc142507552"/>
      <w:bookmarkStart w:id="395" w:name="_Toc141365966"/>
      <w:bookmarkStart w:id="396" w:name="_Toc142508166"/>
      <w:bookmarkStart w:id="397" w:name="_Toc141375609"/>
      <w:bookmarkStart w:id="398" w:name="_Toc152924606"/>
      <w:bookmarkStart w:id="399" w:name="_Toc141369683"/>
      <w:bookmarkStart w:id="400" w:name="_Toc142510012"/>
      <w:bookmarkStart w:id="401" w:name="_Toc29169131"/>
      <w:bookmarkStart w:id="402" w:name="_Toc141375249"/>
      <w:bookmarkStart w:id="403" w:name="_Toc141365411"/>
      <w:bookmarkStart w:id="404" w:name="_Toc141365191"/>
      <w:bookmarkStart w:id="405" w:name="_Toc141369900"/>
      <w:r>
        <w:rPr>
          <w:rStyle w:val="122"/>
          <w:rFonts w:ascii="Times New Roman" w:hAnsi="Times New Roman"/>
          <w:color w:val="FF0000"/>
          <w:highlight w:val="none"/>
        </w:rPr>
        <w:t>表8.</w:t>
      </w:r>
      <w:r>
        <w:rPr>
          <w:rStyle w:val="122"/>
          <w:rFonts w:hint="eastAsia" w:ascii="Times New Roman" w:hAnsi="Times New Roman"/>
          <w:color w:val="FF0000"/>
          <w:highlight w:val="none"/>
          <w:lang w:val="en-US"/>
        </w:rPr>
        <w:t>2</w:t>
      </w:r>
      <w:r>
        <w:rPr>
          <w:rStyle w:val="122"/>
          <w:rFonts w:ascii="Times New Roman" w:hAnsi="Times New Roman"/>
          <w:color w:val="FF0000"/>
          <w:highlight w:val="none"/>
        </w:rPr>
        <w:t>-1</w:t>
      </w:r>
      <w:r>
        <w:rPr>
          <w:rStyle w:val="122"/>
          <w:rFonts w:hint="eastAsia" w:ascii="Times New Roman" w:hAnsi="Times New Roman"/>
          <w:color w:val="FF0000"/>
          <w:highlight w:val="none"/>
        </w:rPr>
        <w:t xml:space="preserve"> </w:t>
      </w:r>
      <w:r>
        <w:rPr>
          <w:rStyle w:val="122"/>
          <w:rFonts w:ascii="Times New Roman" w:hAnsi="Times New Roman"/>
          <w:color w:val="FF0000"/>
          <w:highlight w:val="none"/>
        </w:rPr>
        <w:t>环保投资估算一览表（单位：万元）</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tbl>
      <w:tblPr>
        <w:tblStyle w:val="35"/>
        <w:tblW w:w="81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2040"/>
        <w:gridCol w:w="3543"/>
        <w:gridCol w:w="13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blHeader/>
          <w:jc w:val="center"/>
        </w:trPr>
        <w:tc>
          <w:tcPr>
            <w:tcW w:w="1124" w:type="dxa"/>
            <w:noWrap w:val="0"/>
            <w:vAlign w:val="center"/>
          </w:tcPr>
          <w:p>
            <w:pPr>
              <w:spacing w:line="240" w:lineRule="auto"/>
              <w:ind w:firstLine="0" w:firstLineChars="0"/>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类别</w:t>
            </w:r>
          </w:p>
        </w:tc>
        <w:tc>
          <w:tcPr>
            <w:tcW w:w="2040" w:type="dxa"/>
            <w:noWrap w:val="0"/>
            <w:vAlign w:val="center"/>
          </w:tcPr>
          <w:p>
            <w:pPr>
              <w:spacing w:line="240" w:lineRule="auto"/>
              <w:ind w:leftChars="-86" w:hanging="205" w:hangingChars="98"/>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治理目的</w:t>
            </w:r>
          </w:p>
        </w:tc>
        <w:tc>
          <w:tcPr>
            <w:tcW w:w="3543" w:type="dxa"/>
            <w:noWrap w:val="0"/>
            <w:vAlign w:val="center"/>
          </w:tcPr>
          <w:p>
            <w:pPr>
              <w:spacing w:line="240" w:lineRule="auto"/>
              <w:ind w:left="0" w:leftChars="0" w:firstLine="0" w:firstLineChars="0"/>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采取措施</w:t>
            </w:r>
          </w:p>
        </w:tc>
        <w:tc>
          <w:tcPr>
            <w:tcW w:w="1397" w:type="dxa"/>
            <w:noWrap w:val="0"/>
            <w:vAlign w:val="center"/>
          </w:tcPr>
          <w:p>
            <w:pPr>
              <w:spacing w:line="240" w:lineRule="auto"/>
              <w:ind w:left="-1" w:leftChars="-45" w:hanging="107" w:hangingChars="51"/>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 w:hRule="atLeast"/>
          <w:jc w:val="center"/>
        </w:trPr>
        <w:tc>
          <w:tcPr>
            <w:tcW w:w="1124" w:type="dxa"/>
            <w:noWrap w:val="0"/>
            <w:vAlign w:val="center"/>
          </w:tcPr>
          <w:p>
            <w:pPr>
              <w:autoSpaceDE w:val="0"/>
              <w:autoSpaceDN w:val="0"/>
              <w:spacing w:line="240" w:lineRule="auto"/>
              <w:ind w:firstLine="0" w:firstLineChars="0"/>
              <w:jc w:val="center"/>
              <w:rPr>
                <w:rFonts w:ascii="Times New Roman" w:hAnsi="Times New Roman" w:eastAsia="宋体"/>
                <w:color w:val="FF0000"/>
                <w:sz w:val="21"/>
                <w:szCs w:val="21"/>
                <w:highlight w:val="none"/>
              </w:rPr>
            </w:pPr>
            <w:r>
              <w:rPr>
                <w:rFonts w:ascii="Times New Roman" w:hAnsi="Times New Roman" w:eastAsia="宋体" w:cs="Calibri"/>
                <w:color w:val="FF0000"/>
                <w:sz w:val="21"/>
                <w:szCs w:val="21"/>
                <w:highlight w:val="none"/>
              </w:rPr>
              <w:t>大气污染治理</w:t>
            </w:r>
          </w:p>
        </w:tc>
        <w:tc>
          <w:tcPr>
            <w:tcW w:w="2040" w:type="dxa"/>
            <w:noWrap w:val="0"/>
            <w:vAlign w:val="center"/>
          </w:tcPr>
          <w:p>
            <w:pPr>
              <w:spacing w:line="240" w:lineRule="auto"/>
              <w:ind w:left="-2" w:leftChars="-1" w:firstLine="0" w:firstLineChars="0"/>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采掘场、排土场抑制扬尘和</w:t>
            </w:r>
            <w:r>
              <w:rPr>
                <w:rFonts w:ascii="Times New Roman" w:hAnsi="Times New Roman" w:eastAsia="宋体"/>
                <w:color w:val="FF0000"/>
                <w:sz w:val="21"/>
                <w:szCs w:val="21"/>
                <w:highlight w:val="none"/>
              </w:rPr>
              <w:t>道路粉尘</w:t>
            </w:r>
          </w:p>
        </w:tc>
        <w:tc>
          <w:tcPr>
            <w:tcW w:w="3543" w:type="dxa"/>
            <w:noWrap w:val="0"/>
            <w:vAlign w:val="center"/>
          </w:tcPr>
          <w:p>
            <w:pPr>
              <w:spacing w:line="240" w:lineRule="auto"/>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雾炮机一台</w:t>
            </w:r>
          </w:p>
        </w:tc>
        <w:tc>
          <w:tcPr>
            <w:tcW w:w="1397" w:type="dxa"/>
            <w:noWrap w:val="0"/>
            <w:vAlign w:val="center"/>
          </w:tcPr>
          <w:p>
            <w:pPr>
              <w:spacing w:line="240" w:lineRule="auto"/>
              <w:ind w:left="-1" w:leftChars="-45" w:hanging="107" w:hangingChars="51"/>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1124" w:type="dxa"/>
            <w:noWrap w:val="0"/>
            <w:vAlign w:val="center"/>
          </w:tcPr>
          <w:p>
            <w:pPr>
              <w:spacing w:line="240" w:lineRule="auto"/>
              <w:ind w:firstLine="0" w:firstLineChars="0"/>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噪声治理</w:t>
            </w:r>
          </w:p>
        </w:tc>
        <w:tc>
          <w:tcPr>
            <w:tcW w:w="2040" w:type="dxa"/>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隔声降噪措施</w:t>
            </w:r>
          </w:p>
        </w:tc>
        <w:tc>
          <w:tcPr>
            <w:tcW w:w="3543" w:type="dxa"/>
            <w:noWrap w:val="0"/>
            <w:vAlign w:val="center"/>
          </w:tcPr>
          <w:p>
            <w:pPr>
              <w:spacing w:line="240" w:lineRule="auto"/>
              <w:ind w:firstLine="27" w:firstLineChars="13"/>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各种设备采取减振、消声等</w:t>
            </w:r>
          </w:p>
        </w:tc>
        <w:tc>
          <w:tcPr>
            <w:tcW w:w="1397" w:type="dxa"/>
            <w:noWrap w:val="0"/>
            <w:vAlign w:val="center"/>
          </w:tcPr>
          <w:p>
            <w:pPr>
              <w:spacing w:line="240" w:lineRule="auto"/>
              <w:ind w:left="-1" w:leftChars="-45" w:hanging="107" w:hangingChars="51"/>
              <w:jc w:val="center"/>
              <w:rPr>
                <w:rFonts w:hint="default"/>
                <w:color w:val="FF0000"/>
                <w:highlight w:val="none"/>
                <w:lang w:val="en-US" w:eastAsia="zh-CN"/>
              </w:rPr>
            </w:pPr>
            <w:r>
              <w:rPr>
                <w:rFonts w:hint="eastAsia"/>
                <w:color w:val="FF0000"/>
                <w:sz w:val="21"/>
                <w:szCs w:val="21"/>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1124" w:type="dxa"/>
            <w:noWrap w:val="0"/>
            <w:vAlign w:val="center"/>
          </w:tcPr>
          <w:p>
            <w:pPr>
              <w:spacing w:line="240" w:lineRule="auto"/>
              <w:ind w:firstLine="0" w:firstLineChars="0"/>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固体废弃物</w:t>
            </w:r>
          </w:p>
        </w:tc>
        <w:tc>
          <w:tcPr>
            <w:tcW w:w="2040" w:type="dxa"/>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生活垃圾</w:t>
            </w:r>
          </w:p>
        </w:tc>
        <w:tc>
          <w:tcPr>
            <w:tcW w:w="3543" w:type="dxa"/>
            <w:noWrap w:val="0"/>
            <w:vAlign w:val="center"/>
          </w:tcPr>
          <w:p>
            <w:pPr>
              <w:spacing w:line="240" w:lineRule="auto"/>
              <w:ind w:firstLine="27" w:firstLineChars="13"/>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生活区</w:t>
            </w:r>
            <w:r>
              <w:rPr>
                <w:rFonts w:hint="eastAsia" w:ascii="Times New Roman" w:hAnsi="Times New Roman" w:eastAsia="宋体"/>
                <w:color w:val="FF0000"/>
                <w:sz w:val="21"/>
                <w:szCs w:val="21"/>
                <w:highlight w:val="none"/>
              </w:rPr>
              <w:t>设置</w:t>
            </w:r>
            <w:r>
              <w:rPr>
                <w:rFonts w:hint="eastAsia" w:ascii="Times New Roman" w:hAnsi="Times New Roman" w:eastAsia="宋体"/>
                <w:color w:val="FF0000"/>
                <w:sz w:val="21"/>
                <w:szCs w:val="21"/>
                <w:highlight w:val="none"/>
                <w:lang w:val="en-US" w:eastAsia="zh-CN"/>
              </w:rPr>
              <w:t>2</w:t>
            </w:r>
            <w:r>
              <w:rPr>
                <w:rFonts w:hint="eastAsia" w:ascii="Times New Roman" w:hAnsi="Times New Roman" w:eastAsia="宋体"/>
                <w:color w:val="FF0000"/>
                <w:sz w:val="21"/>
                <w:szCs w:val="21"/>
                <w:highlight w:val="none"/>
              </w:rPr>
              <w:t>个垃圾箱，统一收集后按当地环卫部门的要求进行处理</w:t>
            </w:r>
          </w:p>
        </w:tc>
        <w:tc>
          <w:tcPr>
            <w:tcW w:w="1397" w:type="dxa"/>
            <w:noWrap w:val="0"/>
            <w:vAlign w:val="center"/>
          </w:tcPr>
          <w:p>
            <w:pPr>
              <w:spacing w:line="240" w:lineRule="auto"/>
              <w:ind w:left="-1" w:leftChars="-45" w:hanging="107" w:hangingChars="51"/>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0.</w:t>
            </w:r>
            <w:r>
              <w:rPr>
                <w:rFonts w:ascii="Times New Roman" w:hAnsi="Times New Roman" w:eastAsia="宋体"/>
                <w:color w:val="FF0000"/>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164" w:type="dxa"/>
            <w:gridSpan w:val="2"/>
            <w:noWrap w:val="0"/>
            <w:vAlign w:val="center"/>
          </w:tcPr>
          <w:p>
            <w:pPr>
              <w:spacing w:line="240" w:lineRule="auto"/>
              <w:ind w:leftChars="-86" w:hanging="205" w:hangingChars="98"/>
              <w:jc w:val="center"/>
              <w:rPr>
                <w:rFonts w:ascii="Times New Roman" w:hAnsi="Times New Roman" w:eastAsia="宋体" w:cs="Calibri"/>
                <w:color w:val="FF0000"/>
                <w:sz w:val="21"/>
                <w:szCs w:val="21"/>
                <w:highlight w:val="none"/>
              </w:rPr>
            </w:pPr>
            <w:r>
              <w:rPr>
                <w:rFonts w:hint="eastAsia" w:ascii="Times New Roman" w:hAnsi="Times New Roman" w:eastAsia="宋体" w:cs="Calibri"/>
                <w:color w:val="FF0000"/>
                <w:sz w:val="21"/>
                <w:szCs w:val="21"/>
                <w:highlight w:val="none"/>
              </w:rPr>
              <w:t>生态治理</w:t>
            </w:r>
          </w:p>
        </w:tc>
        <w:tc>
          <w:tcPr>
            <w:tcW w:w="3543" w:type="dxa"/>
            <w:noWrap w:val="0"/>
            <w:vAlign w:val="center"/>
          </w:tcPr>
          <w:p>
            <w:pPr>
              <w:spacing w:line="240" w:lineRule="auto"/>
              <w:ind w:firstLine="0" w:firstLineChars="0"/>
              <w:jc w:val="center"/>
              <w:rPr>
                <w:rFonts w:ascii="Times New Roman" w:hAnsi="Times New Roman" w:eastAsia="宋体" w:cs="Calibri"/>
                <w:color w:val="FF0000"/>
                <w:sz w:val="21"/>
                <w:szCs w:val="21"/>
                <w:highlight w:val="none"/>
              </w:rPr>
            </w:pPr>
            <w:r>
              <w:rPr>
                <w:rFonts w:hint="eastAsia" w:ascii="Times New Roman" w:hAnsi="Times New Roman" w:eastAsia="宋体" w:cs="Calibri"/>
                <w:color w:val="FF0000"/>
                <w:sz w:val="21"/>
                <w:szCs w:val="21"/>
                <w:highlight w:val="none"/>
              </w:rPr>
              <w:t>表土堆放场、工业场地、</w:t>
            </w:r>
            <w:r>
              <w:rPr>
                <w:rFonts w:hint="eastAsia" w:ascii="Times New Roman" w:hAnsi="Times New Roman" w:eastAsia="宋体" w:cs="Calibri"/>
                <w:color w:val="FF0000"/>
                <w:sz w:val="21"/>
                <w:szCs w:val="21"/>
                <w:highlight w:val="none"/>
                <w:lang w:val="en-US" w:eastAsia="zh-CN"/>
              </w:rPr>
              <w:t>采区、</w:t>
            </w:r>
            <w:r>
              <w:rPr>
                <w:rFonts w:hint="eastAsia" w:ascii="Times New Roman" w:hAnsi="Times New Roman" w:eastAsia="宋体" w:cs="Calibri"/>
                <w:color w:val="FF0000"/>
                <w:sz w:val="21"/>
                <w:szCs w:val="21"/>
                <w:highlight w:val="none"/>
              </w:rPr>
              <w:t>道路等进行植被恢复面积</w:t>
            </w:r>
            <w:r>
              <w:rPr>
                <w:rFonts w:hint="eastAsia" w:ascii="Times New Roman" w:hAnsi="Times New Roman" w:eastAsia="宋体" w:cs="Calibri"/>
                <w:color w:val="FF0000"/>
                <w:sz w:val="21"/>
                <w:szCs w:val="21"/>
                <w:highlight w:val="none"/>
                <w:lang w:val="en-US" w:eastAsia="zh-CN"/>
              </w:rPr>
              <w:t>10.34</w:t>
            </w:r>
            <w:r>
              <w:rPr>
                <w:rFonts w:ascii="Times New Roman" w:hAnsi="Times New Roman" w:eastAsia="宋体" w:cs="Calibri"/>
                <w:color w:val="FF0000"/>
                <w:sz w:val="21"/>
                <w:szCs w:val="21"/>
                <w:highlight w:val="none"/>
              </w:rPr>
              <w:t>hm</w:t>
            </w:r>
            <w:r>
              <w:rPr>
                <w:rFonts w:ascii="Times New Roman" w:hAnsi="Times New Roman" w:eastAsia="宋体" w:cs="Calibri"/>
                <w:color w:val="FF0000"/>
                <w:sz w:val="21"/>
                <w:szCs w:val="21"/>
                <w:highlight w:val="none"/>
                <w:vertAlign w:val="superscript"/>
              </w:rPr>
              <w:t>2</w:t>
            </w:r>
          </w:p>
        </w:tc>
        <w:tc>
          <w:tcPr>
            <w:tcW w:w="1397" w:type="dxa"/>
            <w:noWrap w:val="0"/>
            <w:vAlign w:val="center"/>
          </w:tcPr>
          <w:p>
            <w:pPr>
              <w:spacing w:line="240" w:lineRule="auto"/>
              <w:ind w:left="-1" w:leftChars="-45" w:hanging="107" w:hangingChars="51"/>
              <w:jc w:val="center"/>
              <w:rPr>
                <w:rFonts w:hint="default" w:ascii="Times New Roman" w:hAnsi="Times New Roman" w:eastAsia="宋体" w:cs="Calibri"/>
                <w:color w:val="FF0000"/>
                <w:sz w:val="21"/>
                <w:szCs w:val="21"/>
                <w:highlight w:val="none"/>
                <w:lang w:val="en-US" w:eastAsia="zh-CN"/>
              </w:rPr>
            </w:pPr>
            <w:r>
              <w:rPr>
                <w:rFonts w:hint="eastAsia" w:ascii="Times New Roman" w:hAnsi="Times New Roman" w:eastAsia="宋体" w:cs="Calibri"/>
                <w:color w:val="FF0000"/>
                <w:sz w:val="21"/>
                <w:szCs w:val="21"/>
                <w:highlight w:val="none"/>
                <w:lang w:val="en-US" w:eastAsia="zh-CN"/>
              </w:rPr>
              <w:t>21.5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6707" w:type="dxa"/>
            <w:gridSpan w:val="3"/>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合计</w:t>
            </w:r>
          </w:p>
        </w:tc>
        <w:tc>
          <w:tcPr>
            <w:tcW w:w="1397" w:type="dxa"/>
            <w:noWrap w:val="0"/>
            <w:vAlign w:val="center"/>
          </w:tcPr>
          <w:p>
            <w:pPr>
              <w:spacing w:line="240" w:lineRule="auto"/>
              <w:ind w:left="-1" w:leftChars="-45" w:hanging="107" w:hangingChars="51"/>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 w:hRule="atLeast"/>
          <w:jc w:val="center"/>
        </w:trPr>
        <w:tc>
          <w:tcPr>
            <w:tcW w:w="6707" w:type="dxa"/>
            <w:gridSpan w:val="3"/>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环保投资占总投资比率</w:t>
            </w:r>
          </w:p>
        </w:tc>
        <w:tc>
          <w:tcPr>
            <w:tcW w:w="1397" w:type="dxa"/>
            <w:noWrap w:val="0"/>
            <w:vAlign w:val="center"/>
          </w:tcPr>
          <w:p>
            <w:pPr>
              <w:spacing w:line="240" w:lineRule="auto"/>
              <w:ind w:left="-1" w:leftChars="-45" w:hanging="107" w:hangingChars="51"/>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16.29</w:t>
            </w:r>
            <w:r>
              <w:rPr>
                <w:rFonts w:ascii="Times New Roman" w:hAnsi="Times New Roman" w:eastAsia="宋体"/>
                <w:color w:val="FF0000"/>
                <w:sz w:val="21"/>
                <w:szCs w:val="21"/>
                <w:highlight w:val="none"/>
              </w:rPr>
              <w:t>%</w:t>
            </w: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06" w:name="7.2.2直接经济效益"/>
      <w:bookmarkEnd w:id="406"/>
      <w:bookmarkStart w:id="407" w:name="_bookmark129"/>
      <w:bookmarkEnd w:id="407"/>
      <w:bookmarkStart w:id="408" w:name="_Toc24050"/>
      <w:r>
        <w:rPr>
          <w:rFonts w:hint="eastAsia" w:ascii="Times New Roman" w:hAnsi="Times New Roman" w:eastAsia="宋体"/>
          <w:b/>
          <w:bCs w:val="0"/>
          <w:color w:val="auto"/>
          <w:sz w:val="30"/>
          <w:szCs w:val="30"/>
          <w:highlight w:val="none"/>
          <w:lang w:val="en-US" w:eastAsia="zh-CN"/>
        </w:rPr>
        <w:t>8.2.2 直接经济效益</w:t>
      </w:r>
      <w:bookmarkEnd w:id="40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项目经济效益较好，其开发建设能够拉动地方经济，改变该地区的经济面貌，提高项目区人民的生活水平。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矿山环境治理工程是对企业在生产过程之中造成的生态环境破坏和水土流失等负效应的一种补偿，旨在防治水土流失，恢复生态平衡，是一种补偿性治理，不能产生直接经济效益。</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09" w:name="7.2.3间接经济效益"/>
      <w:bookmarkEnd w:id="409"/>
      <w:bookmarkStart w:id="410" w:name="_bookmark130"/>
      <w:bookmarkEnd w:id="410"/>
      <w:bookmarkStart w:id="411" w:name="_Toc13470"/>
      <w:r>
        <w:rPr>
          <w:rFonts w:hint="eastAsia" w:ascii="Times New Roman" w:hAnsi="Times New Roman" w:eastAsia="宋体"/>
          <w:b/>
          <w:bCs w:val="0"/>
          <w:color w:val="auto"/>
          <w:sz w:val="30"/>
          <w:szCs w:val="30"/>
          <w:highlight w:val="none"/>
          <w:lang w:val="en-US" w:eastAsia="zh-CN"/>
        </w:rPr>
        <w:t>8.2.3 间接经济效益</w:t>
      </w:r>
      <w:bookmarkEnd w:id="41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保投资虽不能为矿山创造直接的经济效益，但环保投资对维持矿山生产的正常和稳定起着重要作用。本项目的环境效益体现了环境保护的经济效果，通过环保投资来保证矿区经济建设的可持续发展，维护了当地的环境资源，保护了人民的健康，体现了“谁开发谁保护，谁污染谁治理”的环保政策方针。环保工程将项目建设对环境的影响降至最低，因此，环保投资是必要的。只有落实环境费用，才能控制本项目产生环境负效益的经济活动，做到经济效益、环境效益和社会效益的统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412" w:name="7.3社会效益分析"/>
      <w:bookmarkEnd w:id="412"/>
      <w:bookmarkStart w:id="413" w:name="_bookmark131"/>
      <w:bookmarkEnd w:id="413"/>
      <w:r>
        <w:rPr>
          <w:rFonts w:hint="eastAsia" w:ascii="Times New Roman" w:hAnsi="Times New Roman" w:eastAsia="宋体" w:cs="Times New Roman"/>
          <w:b/>
          <w:bCs w:val="0"/>
          <w:color w:val="auto"/>
          <w:kern w:val="2"/>
          <w:sz w:val="32"/>
          <w:szCs w:val="32"/>
          <w:highlight w:val="none"/>
          <w:lang w:val="en-US" w:eastAsia="zh-CN" w:bidi="ar-SA"/>
        </w:rPr>
        <w:t>8.3 社会效益分析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本项目建设符合</w:t>
      </w:r>
      <w:r>
        <w:rPr>
          <w:rFonts w:hint="eastAsia" w:eastAsia="宋体" w:cs="宋体"/>
          <w:b w:val="0"/>
          <w:bCs/>
          <w:color w:val="auto"/>
          <w:sz w:val="24"/>
          <w:szCs w:val="24"/>
          <w:highlight w:val="none"/>
          <w:lang w:val="en-US" w:eastAsia="zh-CN"/>
        </w:rPr>
        <w:t>苏尼特右旗朱日和镇</w:t>
      </w:r>
      <w:r>
        <w:rPr>
          <w:rFonts w:hint="eastAsia" w:ascii="Times New Roman" w:hAnsi="Times New Roman" w:eastAsia="宋体" w:cs="宋体"/>
          <w:b w:val="0"/>
          <w:bCs/>
          <w:color w:val="auto"/>
          <w:sz w:val="24"/>
          <w:szCs w:val="24"/>
          <w:highlight w:val="none"/>
          <w:lang w:val="en-US" w:eastAsia="zh-CN"/>
        </w:rPr>
        <w:t>国民经济和社会发展规划，充分利用地方政府关于招商引资及资源开发的优惠政策，大力发展地方经济。从世界范围看，近几年</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val="en-US" w:eastAsia="zh-CN"/>
        </w:rPr>
        <w:t>产品的需求呈相对平衡、适度增长之势，市场前景看好，企业效益乐观。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本项目的实施可以带动该地区一批相关产业的发展，上缴可观的税费，拉动地方经济的发展，促进社会主义新农村建设，取得较好的社会效益。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414" w:name="7.4小结"/>
      <w:bookmarkEnd w:id="414"/>
      <w:bookmarkStart w:id="415" w:name="_bookmark132"/>
      <w:bookmarkEnd w:id="415"/>
      <w:r>
        <w:rPr>
          <w:rFonts w:hint="eastAsia" w:ascii="Times New Roman" w:hAnsi="Times New Roman" w:eastAsia="宋体" w:cs="Times New Roman"/>
          <w:b/>
          <w:bCs w:val="0"/>
          <w:color w:val="auto"/>
          <w:kern w:val="2"/>
          <w:sz w:val="32"/>
          <w:szCs w:val="32"/>
          <w:highlight w:val="none"/>
          <w:lang w:val="en-US" w:eastAsia="zh-CN" w:bidi="ar-SA"/>
        </w:rPr>
        <w:t>8.4 小结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综上所述，项目建成后，经济及社会效益明显，在采取了本环评报告要求的污染防治和生态保护措施后，项目区的水环境、大气环境、声环境和生态环境总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体维持在原有水平。实现环境效益、社会效益、经济效益及资源效益的协调发展， 使矿山的负面影响减小到最低，保证矿山的正效益大于负面效益。</w:t>
      </w:r>
      <w:r>
        <w:rPr>
          <w:rFonts w:hint="eastAsia" w:ascii="Times New Roman" w:hAnsi="Times New Roman" w:eastAsia="宋体" w:cs="宋体"/>
          <w:b w:val="0"/>
          <w:bCs/>
          <w:color w:val="auto"/>
          <w:sz w:val="24"/>
          <w:szCs w:val="24"/>
          <w:highlight w:val="yellow"/>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jc w:val="both"/>
        <w:textAlignment w:val="auto"/>
        <w:rPr>
          <w:rFonts w:hint="eastAsia" w:ascii="Times New Roman" w:hAnsi="Times New Roman"/>
          <w:b/>
          <w:bCs w:val="0"/>
          <w:color w:val="auto"/>
          <w:sz w:val="36"/>
          <w:szCs w:val="30"/>
          <w:highlight w:val="none"/>
          <w:lang w:val="en-US" w:eastAsia="zh-CN"/>
        </w:rPr>
      </w:pPr>
      <w:bookmarkStart w:id="416" w:name="_Toc14594"/>
      <w:r>
        <w:rPr>
          <w:rFonts w:hint="eastAsia" w:ascii="Times New Roman" w:hAnsi="Times New Roman"/>
          <w:b/>
          <w:bCs w:val="0"/>
          <w:color w:val="auto"/>
          <w:sz w:val="36"/>
          <w:szCs w:val="30"/>
          <w:highlight w:val="none"/>
          <w:lang w:val="en-US" w:eastAsia="zh-CN"/>
        </w:rPr>
        <w:t>9 环境管理与监测计划</w:t>
      </w:r>
      <w:bookmarkEnd w:id="416"/>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17" w:name="8.1环境管理"/>
      <w:bookmarkEnd w:id="417"/>
      <w:bookmarkStart w:id="418" w:name="_bookmark134"/>
      <w:bookmarkEnd w:id="418"/>
      <w:bookmarkStart w:id="419" w:name="_Toc12302"/>
      <w:r>
        <w:rPr>
          <w:rFonts w:hint="eastAsia" w:ascii="Times New Roman" w:hAnsi="Times New Roman" w:eastAsia="宋体" w:cs="Times New Roman"/>
          <w:b/>
          <w:bCs w:val="0"/>
          <w:color w:val="auto"/>
          <w:kern w:val="2"/>
          <w:sz w:val="32"/>
          <w:szCs w:val="32"/>
          <w:highlight w:val="none"/>
          <w:lang w:val="en-US" w:eastAsia="zh-CN" w:bidi="ar-SA"/>
        </w:rPr>
        <w:t>9.1 环境管理</w:t>
      </w:r>
      <w:bookmarkEnd w:id="41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境管理是企业管理的一项重要内容，加强环境监督力度，尽可能减少“三废”排放，提高资源合理利用率，把对环境的不利影响减少到最低限度，是企业实现环境、经济、社会效益统一、协发展的重要措施；环境监测是环境管理的重要组成部分，加强环境监测是为及时、准确了解和掌握工程排污特征，为企业防治污染，为环境监督管理部门科学管理、科学决策提供依据。</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20" w:name="_bookmark135"/>
      <w:bookmarkEnd w:id="420"/>
      <w:bookmarkStart w:id="421" w:name="8.1.1管理机构"/>
      <w:bookmarkEnd w:id="421"/>
      <w:bookmarkStart w:id="422" w:name="_Toc9719"/>
      <w:r>
        <w:rPr>
          <w:rFonts w:hint="eastAsia" w:ascii="Times New Roman" w:hAnsi="Times New Roman" w:eastAsia="宋体"/>
          <w:b/>
          <w:bCs w:val="0"/>
          <w:color w:val="auto"/>
          <w:sz w:val="30"/>
          <w:szCs w:val="30"/>
          <w:highlight w:val="none"/>
          <w:lang w:val="en-US" w:eastAsia="zh-CN"/>
        </w:rPr>
        <w:t>9.1.1 管理机构</w:t>
      </w:r>
      <w:bookmarkEnd w:id="42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在项目生产期，项目业主应建立自上而下的专职环境保护机构负责制，并由环境保护主管部门监督，切实落实生产期各项环保措施。环境保护机构应配置专职管理干部和专职技术人员，其基本任务是负责组织、落实、监督本企业的环境保护工作。</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23" w:name="_bookmark136"/>
      <w:bookmarkEnd w:id="423"/>
      <w:bookmarkStart w:id="424" w:name="8.1.2环境保护管理计划"/>
      <w:bookmarkEnd w:id="424"/>
      <w:bookmarkStart w:id="425" w:name="_Toc15363"/>
      <w:r>
        <w:rPr>
          <w:rFonts w:hint="eastAsia" w:ascii="Times New Roman" w:hAnsi="Times New Roman" w:eastAsia="宋体"/>
          <w:b/>
          <w:bCs w:val="0"/>
          <w:color w:val="auto"/>
          <w:sz w:val="30"/>
          <w:szCs w:val="30"/>
          <w:highlight w:val="none"/>
          <w:lang w:val="en-US" w:eastAsia="zh-CN"/>
        </w:rPr>
        <w:t>9.1.2 环境保护管理计划</w:t>
      </w:r>
      <w:bookmarkEnd w:id="42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为了切实减轻环境影响，在项目运作的各个阶段，应执行相应的环境管理计 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设计阶段：设计部门应将环境影响报告书中提出的环保措施落实在设计中， 建设单位环保部门应对环保措施的工程设计方案负责审查。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生产阶段：拟建项目管理部门成立专职的环保管理机构，负责日常的环境管理环保设施的维护，落实相关的环境管理制度。制定风险的应急措施。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26" w:name="_bookmark137"/>
      <w:bookmarkEnd w:id="426"/>
      <w:bookmarkStart w:id="427" w:name="8.2环境监测计划"/>
      <w:bookmarkEnd w:id="427"/>
      <w:bookmarkStart w:id="428" w:name="_Toc14265"/>
      <w:r>
        <w:rPr>
          <w:rFonts w:hint="eastAsia" w:ascii="Times New Roman" w:hAnsi="Times New Roman" w:eastAsia="宋体" w:cs="Times New Roman"/>
          <w:b/>
          <w:bCs w:val="0"/>
          <w:color w:val="auto"/>
          <w:kern w:val="2"/>
          <w:sz w:val="32"/>
          <w:szCs w:val="32"/>
          <w:highlight w:val="none"/>
          <w:lang w:val="en-US" w:eastAsia="zh-CN" w:bidi="ar-SA"/>
        </w:rPr>
        <w:t>9.2 环境监测计划</w:t>
      </w:r>
      <w:bookmarkEnd w:id="42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29" w:name="_bookmark138"/>
      <w:bookmarkEnd w:id="429"/>
      <w:bookmarkStart w:id="430" w:name="8.2.1监测目的及原则"/>
      <w:bookmarkEnd w:id="430"/>
      <w:bookmarkStart w:id="431" w:name="_Toc23417"/>
      <w:r>
        <w:rPr>
          <w:rFonts w:hint="eastAsia" w:ascii="Times New Roman" w:hAnsi="Times New Roman" w:eastAsia="宋体"/>
          <w:b/>
          <w:bCs w:val="0"/>
          <w:color w:val="auto"/>
          <w:sz w:val="30"/>
          <w:szCs w:val="30"/>
          <w:highlight w:val="none"/>
          <w:lang w:val="en-US" w:eastAsia="zh-CN"/>
        </w:rPr>
        <w:t>9.2.1 监测目的及原则</w:t>
      </w:r>
      <w:bookmarkEnd w:id="43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制定环境监测计划的目的是为了监督各项环保措施的落实，根据监测结果适 时调整环境保护行动计划，并为项目的环境评估后提供依据。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制定的原则是根据预测的各个时期的主要环境影响及可能超标的地段和指标实施监测。</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32" w:name="_bookmark139"/>
      <w:bookmarkEnd w:id="432"/>
      <w:bookmarkStart w:id="433" w:name="8.2.2监测计划"/>
      <w:bookmarkEnd w:id="433"/>
      <w:bookmarkStart w:id="434" w:name="_Toc31294"/>
      <w:r>
        <w:rPr>
          <w:rFonts w:hint="eastAsia" w:ascii="Times New Roman" w:hAnsi="Times New Roman" w:eastAsia="宋体"/>
          <w:b/>
          <w:bCs w:val="0"/>
          <w:color w:val="auto"/>
          <w:sz w:val="30"/>
          <w:szCs w:val="30"/>
          <w:highlight w:val="none"/>
          <w:lang w:val="en-US" w:eastAsia="zh-CN"/>
        </w:rPr>
        <w:t>9.2.2 监测计划</w:t>
      </w:r>
      <w:bookmarkEnd w:id="43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建设单位须委托有资质的环境监测专门机构对工程运营后所产生的废气、噪 声、废水、固体废物依据国家相应标准、规范进行监测，并应按照规定，定期向有关环境保护主管部门上报监测结果。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本次监测计划参照《排污单位自行监测技术指南 总则》HJ819-2017 的要求制定。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本项目环境监测工作内容见表 9.2-1。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表 9.2-1</w:t>
      </w:r>
      <w:r>
        <w:rPr>
          <w:rFonts w:hint="eastAsia" w:ascii="Times New Roman" w:hAnsi="Times New Roman" w:eastAsia="宋体" w:cs="宋体"/>
          <w:b/>
          <w:bCs w:val="0"/>
          <w:color w:val="FF0000"/>
          <w:sz w:val="24"/>
          <w:szCs w:val="24"/>
          <w:highlight w:val="none"/>
          <w:lang w:val="en-US" w:eastAsia="zh-CN"/>
        </w:rPr>
        <w:tab/>
      </w:r>
      <w:r>
        <w:rPr>
          <w:rFonts w:hint="eastAsia" w:ascii="Times New Roman" w:hAnsi="Times New Roman" w:eastAsia="宋体" w:cs="宋体"/>
          <w:b/>
          <w:bCs w:val="0"/>
          <w:color w:val="FF0000"/>
          <w:sz w:val="24"/>
          <w:szCs w:val="24"/>
          <w:highlight w:val="none"/>
          <w:lang w:val="en-US" w:eastAsia="zh-CN"/>
        </w:rPr>
        <w:t>环境监测工作内容一览表</w:t>
      </w:r>
    </w:p>
    <w:tbl>
      <w:tblPr>
        <w:tblStyle w:val="35"/>
        <w:tblW w:w="8519"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345"/>
        <w:gridCol w:w="2598"/>
        <w:gridCol w:w="990"/>
        <w:gridCol w:w="266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环境要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素</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监测位置</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监测项目</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频次</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备注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大气污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染源</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场</w:t>
            </w:r>
            <w:r>
              <w:rPr>
                <w:rFonts w:hint="eastAsia" w:ascii="Times New Roman" w:hAnsi="Times New Roman" w:eastAsia="宋体" w:cs="宋体"/>
                <w:b w:val="0"/>
                <w:bCs/>
                <w:color w:val="FF0000"/>
                <w:sz w:val="21"/>
                <w:szCs w:val="21"/>
                <w:highlight w:val="none"/>
                <w:lang w:val="en-US" w:eastAsia="zh-CN"/>
              </w:rPr>
              <w:t>界</w:t>
            </w:r>
            <w:r>
              <w:rPr>
                <w:rFonts w:hint="eastAsia" w:eastAsia="宋体" w:cs="宋体"/>
                <w:b w:val="0"/>
                <w:bCs/>
                <w:color w:val="FF0000"/>
                <w:sz w:val="21"/>
                <w:szCs w:val="21"/>
                <w:highlight w:val="none"/>
                <w:lang w:val="en-US" w:eastAsia="zh-CN"/>
              </w:rPr>
              <w:t>四周</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颗粒物</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1 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半年</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监测内容为：排放浓度。应详细记录监测时间、监测点位、监测负责人等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固废</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各类固体废物</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统计种类、产生量、处理方式、去向</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1 次/ 季度</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应详细记录检查时间、负责 人等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噪声</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场界四周</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Leq(A)</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 xml:space="preserve">1 次/ </w:t>
            </w:r>
            <w:r>
              <w:rPr>
                <w:rFonts w:hint="eastAsia" w:eastAsia="宋体" w:cs="宋体"/>
                <w:b w:val="0"/>
                <w:bCs/>
                <w:color w:val="FF0000"/>
                <w:sz w:val="21"/>
                <w:szCs w:val="21"/>
                <w:highlight w:val="none"/>
                <w:lang w:val="en-US" w:eastAsia="zh-CN"/>
              </w:rPr>
              <w:t>半年</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应详细记录监测时间、监测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点位、监测负责人等</w:t>
            </w:r>
          </w:p>
        </w:tc>
      </w:tr>
    </w:tbl>
    <w:p>
      <w:pPr>
        <w:pStyle w:val="34"/>
        <w:ind w:left="0" w:leftChars="0" w:firstLine="0" w:firstLineChars="0"/>
        <w:rPr>
          <w:rFonts w:hint="eastAsia" w:ascii="Times New Roman" w:hAnsi="Times New Roman"/>
          <w:highlight w:val="yellow"/>
          <w:lang w:val="en-US" w:eastAsia="zh-CN"/>
        </w:rPr>
      </w:pPr>
      <w:bookmarkStart w:id="435" w:name="_bookmark140"/>
      <w:bookmarkEnd w:id="435"/>
      <w:bookmarkStart w:id="436" w:name="8.3排污口规范化管理"/>
      <w:bookmarkEnd w:id="436"/>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yellow"/>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jc w:val="both"/>
        <w:textAlignment w:val="auto"/>
        <w:rPr>
          <w:rFonts w:hint="eastAsia" w:ascii="Times New Roman" w:hAnsi="Times New Roman"/>
          <w:b/>
          <w:bCs w:val="0"/>
          <w:color w:val="auto"/>
          <w:sz w:val="36"/>
          <w:szCs w:val="30"/>
          <w:highlight w:val="none"/>
          <w:lang w:val="en-US" w:eastAsia="zh-CN"/>
        </w:rPr>
      </w:pPr>
      <w:bookmarkStart w:id="437" w:name="_Toc21459"/>
      <w:r>
        <w:rPr>
          <w:rFonts w:hint="eastAsia" w:ascii="Times New Roman" w:hAnsi="Times New Roman"/>
          <w:b/>
          <w:bCs w:val="0"/>
          <w:color w:val="auto"/>
          <w:sz w:val="36"/>
          <w:szCs w:val="30"/>
          <w:highlight w:val="none"/>
          <w:lang w:val="en-US" w:eastAsia="zh-CN"/>
        </w:rPr>
        <w:t>10 结论</w:t>
      </w:r>
      <w:bookmarkEnd w:id="437"/>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38" w:name="9.1项目概况"/>
      <w:bookmarkEnd w:id="438"/>
      <w:bookmarkStart w:id="439" w:name="_bookmark145"/>
      <w:bookmarkEnd w:id="439"/>
      <w:bookmarkStart w:id="440" w:name="_Toc27033"/>
      <w:r>
        <w:rPr>
          <w:rFonts w:hint="eastAsia" w:ascii="Times New Roman" w:hAnsi="Times New Roman" w:eastAsia="宋体" w:cs="Times New Roman"/>
          <w:b/>
          <w:bCs w:val="0"/>
          <w:color w:val="auto"/>
          <w:kern w:val="2"/>
          <w:sz w:val="32"/>
          <w:szCs w:val="32"/>
          <w:highlight w:val="none"/>
          <w:lang w:val="en-US" w:eastAsia="zh-CN" w:bidi="ar-SA"/>
        </w:rPr>
        <w:t>10.1 项目概况</w:t>
      </w:r>
      <w:bookmarkEnd w:id="44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none"/>
          <w:lang w:val="en-US" w:eastAsia="zh-CN"/>
        </w:rPr>
      </w:pP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扩建</w:t>
      </w:r>
      <w:r>
        <w:rPr>
          <w:rFonts w:hint="eastAsia" w:ascii="Times New Roman" w:hAnsi="Times New Roman" w:eastAsia="宋体"/>
          <w:color w:val="auto"/>
          <w:highlight w:val="none"/>
          <w:lang w:eastAsia="zh-CN"/>
        </w:rPr>
        <w:t>项目</w:t>
      </w:r>
      <w:r>
        <w:rPr>
          <w:rFonts w:hint="eastAsia" w:ascii="Times New Roman" w:hAnsi="Times New Roman" w:eastAsia="宋体" w:cs="宋体"/>
          <w:b w:val="0"/>
          <w:bCs/>
          <w:color w:val="auto"/>
          <w:sz w:val="24"/>
          <w:szCs w:val="24"/>
          <w:highlight w:val="none"/>
          <w:lang w:val="en-US" w:eastAsia="zh-CN"/>
        </w:rPr>
        <w:t>位于</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苏尼特右旗镇府所在地赛汉塔拉镇东南约50km处，隶属</w:t>
      </w:r>
      <w:r>
        <w:rPr>
          <w:rFonts w:hint="eastAsia" w:eastAsia="宋体"/>
          <w:color w:val="auto"/>
          <w:highlight w:val="none"/>
          <w:lang w:val="en-US" w:eastAsia="zh-CN"/>
        </w:rPr>
        <w:t>朱日和镇</w:t>
      </w:r>
      <w:r>
        <w:rPr>
          <w:rFonts w:hint="eastAsia" w:ascii="Times New Roman" w:hAnsi="Times New Roman" w:eastAsia="宋体"/>
          <w:color w:val="auto"/>
          <w:highlight w:val="none"/>
        </w:rPr>
        <w:t>所管辖</w:t>
      </w:r>
      <w:r>
        <w:rPr>
          <w:rFonts w:hint="eastAsia" w:ascii="Times New Roman" w:hAnsi="Times New Roman" w:eastAsia="宋体" w:cs="宋体"/>
          <w:b w:val="0"/>
          <w:bCs/>
          <w:color w:val="auto"/>
          <w:sz w:val="24"/>
          <w:szCs w:val="24"/>
          <w:highlight w:val="none"/>
          <w:lang w:val="en-US" w:eastAsia="zh-CN"/>
        </w:rPr>
        <w:t>。</w:t>
      </w:r>
      <w:r>
        <w:rPr>
          <w:rFonts w:hint="eastAsia" w:ascii="Times New Roman" w:hAnsi="Times New Roman" w:eastAsia="宋体"/>
          <w:color w:val="auto"/>
          <w:highlight w:val="none"/>
        </w:rPr>
        <w:t>矿区南东距G208国道约3km，与旗政府赛汉塔拉镇和集宁连接，其间都有砂石路相连，由锡林浩特市沿省道S101线西行200km到达苏尼特左旗满都拉图镇，沿G209行驶150km抵达苏尼特右旗赛汉塔拉镇，赛罕塔拉镇</w:t>
      </w:r>
      <w:r>
        <w:rPr>
          <w:rFonts w:hint="eastAsia" w:ascii="Times New Roman" w:hAnsi="Times New Roman" w:eastAsia="宋体"/>
          <w:color w:val="auto"/>
          <w:highlight w:val="none"/>
          <w:lang w:val="en-US" w:eastAsia="zh-CN"/>
        </w:rPr>
        <w:t>沿G208行驶38km下道行驶3km抵达矿区</w:t>
      </w:r>
      <w:r>
        <w:rPr>
          <w:rFonts w:hint="eastAsia" w:eastAsia="宋体"/>
          <w:color w:val="auto"/>
          <w:highlight w:val="none"/>
          <w:lang w:val="en-US" w:eastAsia="zh-CN"/>
        </w:rPr>
        <w:t>，</w:t>
      </w:r>
      <w:r>
        <w:rPr>
          <w:rFonts w:hint="eastAsia" w:ascii="Times New Roman" w:hAnsi="Times New Roman" w:eastAsia="宋体" w:cs="宋体"/>
          <w:b w:val="0"/>
          <w:bCs/>
          <w:color w:val="auto"/>
          <w:sz w:val="24"/>
          <w:szCs w:val="24"/>
          <w:highlight w:val="none"/>
          <w:lang w:val="en-US" w:eastAsia="zh-CN"/>
        </w:rPr>
        <w:t>交通较为便利。本项目</w:t>
      </w:r>
      <w:r>
        <w:rPr>
          <w:rFonts w:hint="eastAsia" w:eastAsia="宋体" w:cs="宋体"/>
          <w:b w:val="0"/>
          <w:bCs/>
          <w:color w:val="auto"/>
          <w:sz w:val="24"/>
          <w:szCs w:val="24"/>
          <w:highlight w:val="none"/>
          <w:lang w:val="en-US" w:eastAsia="zh-CN"/>
        </w:rPr>
        <w:t>扩建</w:t>
      </w:r>
      <w:r>
        <w:rPr>
          <w:rFonts w:hint="eastAsia" w:ascii="Times New Roman" w:hAnsi="Times New Roman" w:eastAsia="宋体" w:cs="宋体"/>
          <w:b w:val="0"/>
          <w:bCs/>
          <w:color w:val="auto"/>
          <w:sz w:val="24"/>
          <w:szCs w:val="24"/>
          <w:highlight w:val="none"/>
          <w:lang w:val="en-US" w:eastAsia="zh-CN"/>
        </w:rPr>
        <w:t>完成后</w:t>
      </w:r>
      <w:r>
        <w:rPr>
          <w:rFonts w:hint="eastAsia" w:eastAsia="宋体"/>
          <w:color w:val="auto"/>
          <w:highlight w:val="none"/>
          <w:lang w:val="en-US" w:eastAsia="zh-CN"/>
        </w:rPr>
        <w:t>矿区</w:t>
      </w:r>
      <w:r>
        <w:rPr>
          <w:rFonts w:hint="eastAsia" w:ascii="Times New Roman" w:hAnsi="Times New Roman" w:eastAsia="宋体"/>
          <w:color w:val="auto"/>
          <w:highlight w:val="none"/>
        </w:rPr>
        <w:t>面积</w:t>
      </w:r>
      <w:r>
        <w:rPr>
          <w:rFonts w:hint="eastAsia" w:eastAsia="宋体"/>
          <w:color w:val="auto"/>
          <w:highlight w:val="none"/>
          <w:lang w:val="en-US" w:eastAsia="zh-CN"/>
        </w:rPr>
        <w:t>降为</w:t>
      </w:r>
      <w:r>
        <w:rPr>
          <w:rFonts w:hint="eastAsia" w:ascii="Times New Roman" w:hAnsi="Times New Roman" w:eastAsia="宋体"/>
          <w:color w:val="auto"/>
          <w:highlight w:val="none"/>
          <w:lang w:eastAsia="zh-CN"/>
        </w:rPr>
        <w:t>0.103</w:t>
      </w:r>
      <w:r>
        <w:rPr>
          <w:rFonts w:hint="eastAsia" w:eastAsia="宋体"/>
          <w:color w:val="auto"/>
          <w:highlight w:val="none"/>
          <w:lang w:val="en-US" w:eastAsia="zh-CN"/>
        </w:rPr>
        <w:t>4</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r>
        <w:rPr>
          <w:rFonts w:hint="eastAsia" w:ascii="Times New Roman" w:hAnsi="Times New Roman" w:eastAsia="宋体"/>
          <w:color w:val="FF0000"/>
          <w:highlight w:val="none"/>
        </w:rPr>
        <w:t>开采深度</w:t>
      </w:r>
      <w:r>
        <w:rPr>
          <w:rFonts w:hint="eastAsia" w:eastAsia="宋体"/>
          <w:color w:val="FF0000"/>
          <w:highlight w:val="none"/>
          <w:lang w:val="en-US" w:eastAsia="zh-CN"/>
        </w:rPr>
        <w:t>变为</w:t>
      </w:r>
      <w:r>
        <w:rPr>
          <w:rFonts w:hint="eastAsia" w:ascii="Times New Roman" w:hAnsi="Times New Roman" w:eastAsia="宋体"/>
          <w:color w:val="FF0000"/>
          <w:highlight w:val="none"/>
          <w:lang w:val="en-US" w:eastAsia="zh-CN"/>
        </w:rPr>
        <w:t>11</w:t>
      </w:r>
      <w:r>
        <w:rPr>
          <w:rFonts w:hint="eastAsia" w:eastAsia="宋体"/>
          <w:color w:val="FF0000"/>
          <w:highlight w:val="none"/>
          <w:lang w:val="en-US" w:eastAsia="zh-CN"/>
        </w:rPr>
        <w:t>52.98</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val="en-US" w:eastAsia="zh-CN"/>
        </w:rPr>
        <w:t>1136.0</w:t>
      </w:r>
      <w:r>
        <w:rPr>
          <w:rFonts w:hint="eastAsia" w:ascii="Times New Roman" w:hAnsi="Times New Roman" w:eastAsia="宋体"/>
          <w:color w:val="FF0000"/>
          <w:highlight w:val="none"/>
        </w:rPr>
        <w:t>m标高；</w:t>
      </w:r>
      <w:r>
        <w:rPr>
          <w:rFonts w:hint="eastAsia" w:ascii="Times New Roman" w:hAnsi="Times New Roman" w:eastAsia="宋体"/>
          <w:color w:val="auto"/>
          <w:highlight w:val="none"/>
        </w:rPr>
        <w:t>开采方式为露天开采</w:t>
      </w:r>
      <w:r>
        <w:rPr>
          <w:rFonts w:hint="eastAsia" w:eastAsia="宋体"/>
          <w:color w:val="auto"/>
          <w:highlight w:val="none"/>
          <w:lang w:val="en-US" w:eastAsia="zh-CN"/>
        </w:rPr>
        <w:t>不变</w:t>
      </w:r>
      <w:r>
        <w:rPr>
          <w:rFonts w:hint="eastAsia" w:ascii="Times New Roman" w:hAnsi="Times New Roman" w:eastAsia="宋体"/>
          <w:color w:val="auto"/>
          <w:highlight w:val="none"/>
        </w:rPr>
        <w:t>，</w:t>
      </w:r>
      <w:r>
        <w:rPr>
          <w:rFonts w:hint="eastAsia" w:eastAsia="宋体"/>
          <w:color w:val="auto"/>
          <w:highlight w:val="none"/>
          <w:lang w:val="en-US" w:eastAsia="zh-CN"/>
        </w:rPr>
        <w:t>开采</w:t>
      </w:r>
      <w:r>
        <w:rPr>
          <w:rFonts w:hint="eastAsia" w:ascii="Times New Roman" w:hAnsi="Times New Roman" w:eastAsia="宋体"/>
          <w:color w:val="auto"/>
          <w:highlight w:val="none"/>
        </w:rPr>
        <w:t>规模</w:t>
      </w:r>
      <w:r>
        <w:rPr>
          <w:rFonts w:hint="eastAsia" w:eastAsia="宋体"/>
          <w:color w:val="auto"/>
          <w:highlight w:val="none"/>
          <w:lang w:val="en-US" w:eastAsia="zh-CN"/>
        </w:rPr>
        <w:t>增加</w:t>
      </w:r>
      <w:r>
        <w:rPr>
          <w:rFonts w:hint="eastAsia" w:ascii="Times New Roman" w:hAnsi="Times New Roman" w:eastAsia="宋体"/>
          <w:color w:val="auto"/>
          <w:highlight w:val="none"/>
        </w:rPr>
        <w:t>为6×10</w:t>
      </w:r>
      <w:r>
        <w:rPr>
          <w:rFonts w:hint="eastAsia" w:ascii="Times New Roman" w:hAnsi="Times New Roman" w:eastAsia="宋体"/>
          <w:color w:val="auto"/>
          <w:highlight w:val="none"/>
          <w:vertAlign w:val="superscript"/>
        </w:rPr>
        <w:t>4</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hint="eastAsia" w:eastAsia="宋体"/>
          <w:color w:val="auto"/>
          <w:highlight w:val="none"/>
          <w:lang w:eastAsia="zh-CN"/>
        </w:rPr>
        <w:t>，</w:t>
      </w:r>
      <w:r>
        <w:rPr>
          <w:rFonts w:hint="eastAsia" w:eastAsia="宋体"/>
          <w:color w:val="auto"/>
          <w:highlight w:val="none"/>
          <w:lang w:val="en-US" w:eastAsia="zh-CN"/>
        </w:rPr>
        <w:t>矿山服务年限降为6.2年。新增洗砂规模为</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×10</w:t>
      </w:r>
      <w:r>
        <w:rPr>
          <w:rFonts w:hint="eastAsia" w:ascii="Times New Roman" w:hAnsi="Times New Roman" w:eastAsia="宋体"/>
          <w:color w:val="auto"/>
          <w:highlight w:val="none"/>
          <w:vertAlign w:val="superscript"/>
        </w:rPr>
        <w:t>4</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hint="eastAsia" w:eastAsia="宋体"/>
          <w:color w:val="auto"/>
          <w:highlight w:val="none"/>
          <w:lang w:eastAsia="zh-CN"/>
        </w:rPr>
        <w:t>。</w:t>
      </w:r>
      <w:r>
        <w:rPr>
          <w:rFonts w:hint="eastAsia" w:ascii="Times New Roman" w:hAnsi="Times New Roman" w:eastAsia="宋体" w:cs="宋体"/>
          <w:b w:val="0"/>
          <w:bCs/>
          <w:color w:val="auto"/>
          <w:sz w:val="24"/>
          <w:szCs w:val="24"/>
          <w:highlight w:val="none"/>
          <w:lang w:val="en-US" w:eastAsia="zh-CN"/>
        </w:rPr>
        <w:t>本项目总投资</w:t>
      </w:r>
      <w:r>
        <w:rPr>
          <w:rFonts w:hint="eastAsia" w:eastAsia="宋体" w:cs="宋体"/>
          <w:b w:val="0"/>
          <w:bCs/>
          <w:color w:val="auto"/>
          <w:sz w:val="24"/>
          <w:szCs w:val="24"/>
          <w:highlight w:val="none"/>
          <w:lang w:val="en-US" w:eastAsia="zh-CN"/>
        </w:rPr>
        <w:t>144.29</w:t>
      </w:r>
      <w:r>
        <w:rPr>
          <w:rFonts w:hint="eastAsia" w:ascii="Times New Roman" w:hAnsi="Times New Roman" w:eastAsia="宋体" w:cs="宋体"/>
          <w:b w:val="0"/>
          <w:bCs/>
          <w:color w:val="auto"/>
          <w:sz w:val="24"/>
          <w:szCs w:val="24"/>
          <w:highlight w:val="none"/>
          <w:lang w:val="en-US" w:eastAsia="zh-CN"/>
        </w:rPr>
        <w:t>万元，</w:t>
      </w:r>
      <w:r>
        <w:rPr>
          <w:rFonts w:hint="eastAsia" w:eastAsia="宋体" w:cs="宋体"/>
          <w:b w:val="0"/>
          <w:bCs/>
          <w:color w:val="auto"/>
          <w:sz w:val="24"/>
          <w:szCs w:val="24"/>
          <w:highlight w:val="none"/>
          <w:lang w:val="en-US" w:eastAsia="zh-CN"/>
        </w:rPr>
        <w:t>环保投资为23.5万元，占总投资比例为16.29%。</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41" w:name="_bookmark146"/>
      <w:bookmarkEnd w:id="441"/>
      <w:bookmarkStart w:id="442" w:name="9.2区域环境质量现状"/>
      <w:bookmarkEnd w:id="442"/>
      <w:bookmarkStart w:id="443" w:name="_Toc13348"/>
      <w:r>
        <w:rPr>
          <w:rFonts w:hint="eastAsia" w:ascii="Times New Roman" w:hAnsi="Times New Roman" w:eastAsia="宋体" w:cs="Times New Roman"/>
          <w:b/>
          <w:bCs w:val="0"/>
          <w:color w:val="auto"/>
          <w:kern w:val="2"/>
          <w:sz w:val="32"/>
          <w:szCs w:val="32"/>
          <w:highlight w:val="none"/>
          <w:lang w:val="en-US" w:eastAsia="zh-CN" w:bidi="ar-SA"/>
        </w:rPr>
        <w:t>10.2 区域环境质量现状</w:t>
      </w:r>
      <w:bookmarkEnd w:id="443"/>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44" w:name="9.2.1大气环境质量现状评价结论"/>
      <w:bookmarkEnd w:id="444"/>
      <w:bookmarkStart w:id="445" w:name="_bookmark147"/>
      <w:bookmarkEnd w:id="445"/>
      <w:bookmarkStart w:id="446" w:name="_Toc5786"/>
      <w:r>
        <w:rPr>
          <w:rFonts w:hint="eastAsia" w:ascii="Times New Roman" w:hAnsi="Times New Roman" w:eastAsia="宋体"/>
          <w:b/>
          <w:bCs w:val="0"/>
          <w:color w:val="auto"/>
          <w:sz w:val="30"/>
          <w:szCs w:val="30"/>
          <w:highlight w:val="none"/>
          <w:lang w:val="en-US" w:eastAsia="zh-CN"/>
        </w:rPr>
        <w:t>10.2.1 大气环境质量现状评价结论</w:t>
      </w:r>
      <w:bookmarkEnd w:id="446"/>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本项目所在地环境空气质量为二类功能区，因此该地区环境空气质量执行《环境空气质量标准》</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GB3095-2012</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中的二级标准。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根据内蒙古自治区环境保护厅20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w:t>
      </w:r>
      <w:r>
        <w:rPr>
          <w:rFonts w:hint="eastAsia" w:eastAsia="宋体"/>
          <w:color w:val="auto"/>
          <w:highlight w:val="none"/>
          <w:lang w:val="en-US" w:eastAsia="zh-CN"/>
        </w:rPr>
        <w:t>6</w:t>
      </w:r>
      <w:r>
        <w:rPr>
          <w:rFonts w:hint="default" w:ascii="Times New Roman" w:hAnsi="Times New Roman" w:eastAsia="宋体"/>
          <w:color w:val="auto"/>
          <w:highlight w:val="none"/>
        </w:rPr>
        <w:t>月</w:t>
      </w:r>
      <w:r>
        <w:rPr>
          <w:rFonts w:hint="eastAsia" w:eastAsia="宋体"/>
          <w:color w:val="auto"/>
          <w:highlight w:val="none"/>
          <w:lang w:val="en-US" w:eastAsia="zh-CN"/>
        </w:rPr>
        <w:t>5</w:t>
      </w:r>
      <w:r>
        <w:rPr>
          <w:rFonts w:hint="default" w:ascii="Times New Roman" w:hAnsi="Times New Roman" w:eastAsia="宋体"/>
          <w:color w:val="auto"/>
          <w:highlight w:val="none"/>
        </w:rPr>
        <w:t>日发布的20</w:t>
      </w:r>
      <w:r>
        <w:rPr>
          <w:rFonts w:hint="eastAsia" w:eastAsia="宋体"/>
          <w:color w:val="auto"/>
          <w:highlight w:val="none"/>
          <w:lang w:val="en-US" w:eastAsia="zh-CN"/>
        </w:rPr>
        <w:t>20</w:t>
      </w:r>
      <w:r>
        <w:rPr>
          <w:rFonts w:hint="default" w:ascii="Times New Roman" w:hAnsi="Times New Roman" w:eastAsia="宋体"/>
          <w:color w:val="auto"/>
          <w:highlight w:val="none"/>
        </w:rPr>
        <w:t>年度内蒙古自治区生态环境状况公报，锡林郭勒盟环境空气质量较好，采用国控自动监测站点的监测数据，环境空气评价因子为SO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、CO、O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等。PM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9</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26</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3</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0</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，CO日平均浓度为0.</w:t>
      </w:r>
      <w:r>
        <w:rPr>
          <w:rFonts w:hint="eastAsia" w:eastAsia="宋体"/>
          <w:color w:val="auto"/>
          <w:highlight w:val="none"/>
          <w:lang w:val="en-US" w:eastAsia="zh-CN"/>
        </w:rPr>
        <w:t>5</w:t>
      </w:r>
      <w:r>
        <w:rPr>
          <w:rFonts w:hint="default" w:ascii="Times New Roman" w:hAnsi="Times New Roman" w:eastAsia="宋体"/>
          <w:color w:val="auto"/>
          <w:highlight w:val="none"/>
        </w:rPr>
        <w:t>mg/m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日最大8小时平均浓度为1</w:t>
      </w:r>
      <w:r>
        <w:rPr>
          <w:rFonts w:hint="eastAsia" w:eastAsia="宋体"/>
          <w:color w:val="auto"/>
          <w:highlight w:val="none"/>
          <w:lang w:val="en-US" w:eastAsia="zh-CN"/>
        </w:rPr>
        <w:t>1</w:t>
      </w:r>
      <w:r>
        <w:rPr>
          <w:rFonts w:hint="eastAsia" w:ascii="Times New Roman" w:hAnsi="Times New Roman" w:eastAsia="宋体"/>
          <w:color w:val="auto"/>
          <w:highlight w:val="none"/>
          <w:lang w:val="en-US" w:eastAsia="zh-CN"/>
        </w:rPr>
        <w:t>2</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，其中SO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年均值浓度低于《环境空气质量标准》（GB3095-2012）及其修改单中规定的标准限值，CO</w:t>
      </w:r>
      <w:r>
        <w:rPr>
          <w:rFonts w:hint="default" w:ascii="Times New Roman" w:hAnsi="Times New Roman" w:eastAsia="宋体"/>
          <w:color w:val="auto"/>
          <w:highlight w:val="none"/>
          <w:vertAlign w:val="baseline"/>
        </w:rPr>
        <w:t>2</w:t>
      </w:r>
      <w:r>
        <w:rPr>
          <w:rFonts w:hint="default" w:ascii="Times New Roman" w:hAnsi="Times New Roman" w:eastAsia="宋体"/>
          <w:color w:val="auto"/>
          <w:highlight w:val="none"/>
        </w:rPr>
        <w:t xml:space="preserve"> 4小时均值浓度限值和O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日最大8小时平均浓度低于《环境空气质量标准》（GB3095-2012）及其修改单中规定的标准限值，区域环境质量达标。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锡林郭勒盟永创环保科技</w:t>
      </w:r>
      <w:r>
        <w:rPr>
          <w:rFonts w:hint="eastAsia" w:ascii="Times New Roman" w:hAnsi="Times New Roman" w:eastAsia="宋体" w:cs="宋体"/>
          <w:b w:val="0"/>
          <w:bCs/>
          <w:color w:val="auto"/>
          <w:sz w:val="24"/>
          <w:szCs w:val="24"/>
          <w:highlight w:val="none"/>
          <w:lang w:val="en-US" w:eastAsia="zh-CN"/>
        </w:rPr>
        <w:t>有限公司于20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9</w:t>
      </w:r>
      <w:r>
        <w:rPr>
          <w:rFonts w:hint="eastAsia" w:ascii="Times New Roman" w:hAnsi="Times New Roman" w:eastAsia="宋体" w:cs="宋体"/>
          <w:b w:val="0"/>
          <w:bCs/>
          <w:color w:val="auto"/>
          <w:sz w:val="24"/>
          <w:szCs w:val="24"/>
          <w:highlight w:val="none"/>
          <w:lang w:val="en-US" w:eastAsia="zh-CN"/>
        </w:rPr>
        <w:t>日对项目区环境空气质量进行了监测，监测结果表示，监测期间评价范围内TSP</w:t>
      </w:r>
      <w:r>
        <w:rPr>
          <w:rFonts w:hint="eastAsia" w:eastAsia="宋体" w:cs="宋体"/>
          <w:b w:val="0"/>
          <w:bCs/>
          <w:color w:val="auto"/>
          <w:sz w:val="24"/>
          <w:szCs w:val="24"/>
          <w:highlight w:val="none"/>
          <w:lang w:val="en-US" w:eastAsia="zh-CN"/>
        </w:rPr>
        <w:t>24小时</w:t>
      </w:r>
      <w:r>
        <w:rPr>
          <w:rFonts w:hint="eastAsia" w:ascii="Times New Roman" w:hAnsi="Times New Roman" w:eastAsia="宋体" w:cs="宋体"/>
          <w:b w:val="0"/>
          <w:bCs/>
          <w:color w:val="auto"/>
          <w:sz w:val="24"/>
          <w:szCs w:val="24"/>
          <w:highlight w:val="none"/>
          <w:lang w:val="en-US" w:eastAsia="zh-CN"/>
        </w:rPr>
        <w:t>均值均符合《环境空气质量标准》（GB3095-2012）二级标准要求。无超标现象。</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47" w:name="9.2.2水环境质量现状评价结论"/>
      <w:bookmarkEnd w:id="447"/>
      <w:bookmarkStart w:id="448" w:name="_bookmark148"/>
      <w:bookmarkEnd w:id="448"/>
      <w:bookmarkStart w:id="449" w:name="_Toc14309"/>
      <w:r>
        <w:rPr>
          <w:rFonts w:hint="eastAsia" w:ascii="Times New Roman" w:hAnsi="Times New Roman" w:eastAsia="宋体"/>
          <w:b/>
          <w:bCs w:val="0"/>
          <w:color w:val="auto"/>
          <w:sz w:val="30"/>
          <w:szCs w:val="30"/>
          <w:highlight w:val="none"/>
          <w:lang w:val="en-US" w:eastAsia="zh-CN"/>
        </w:rPr>
        <w:t>10.2.2 声环境质量现状评价结论</w:t>
      </w:r>
      <w:bookmarkEnd w:id="44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锡林郭勒盟永创环保科技</w:t>
      </w:r>
      <w:r>
        <w:rPr>
          <w:rFonts w:hint="eastAsia" w:ascii="Times New Roman" w:hAnsi="Times New Roman" w:eastAsia="宋体" w:cs="宋体"/>
          <w:b w:val="0"/>
          <w:bCs/>
          <w:color w:val="auto"/>
          <w:sz w:val="24"/>
          <w:szCs w:val="24"/>
          <w:highlight w:val="none"/>
          <w:lang w:val="en-US" w:eastAsia="zh-CN"/>
        </w:rPr>
        <w:t>有限公司于20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日对项目区声环境质量进行了监测，监测结果表示，监测期间各监测点的噪声现状监测值昼间</w:t>
      </w:r>
      <w:r>
        <w:rPr>
          <w:rFonts w:hint="eastAsia" w:eastAsia="宋体" w:cs="宋体"/>
          <w:b w:val="0"/>
          <w:bCs/>
          <w:color w:val="auto"/>
          <w:sz w:val="24"/>
          <w:szCs w:val="24"/>
          <w:highlight w:val="none"/>
          <w:lang w:val="en-US" w:eastAsia="zh-CN"/>
        </w:rPr>
        <w:t>和</w:t>
      </w:r>
      <w:r>
        <w:rPr>
          <w:rFonts w:hint="eastAsia" w:ascii="Times New Roman" w:hAnsi="Times New Roman" w:eastAsia="宋体" w:cs="宋体"/>
          <w:b w:val="0"/>
          <w:bCs/>
          <w:color w:val="auto"/>
          <w:sz w:val="24"/>
          <w:szCs w:val="24"/>
          <w:highlight w:val="none"/>
          <w:lang w:val="en-US" w:eastAsia="zh-CN"/>
        </w:rPr>
        <w:t>夜间均未超过《声环境质 量标准》（GB3096-2008）2类标准限值，说明项目区周边声环境质量良好。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50" w:name="_bookmark150"/>
      <w:bookmarkEnd w:id="450"/>
      <w:bookmarkStart w:id="451" w:name="9.2.4土壤环境质量现状评价结论"/>
      <w:bookmarkEnd w:id="451"/>
      <w:bookmarkStart w:id="452" w:name="_Toc3378"/>
      <w:r>
        <w:rPr>
          <w:rFonts w:hint="eastAsia" w:ascii="Times New Roman" w:hAnsi="Times New Roman" w:eastAsia="宋体"/>
          <w:b/>
          <w:bCs w:val="0"/>
          <w:color w:val="auto"/>
          <w:sz w:val="30"/>
          <w:szCs w:val="30"/>
          <w:highlight w:val="none"/>
          <w:lang w:val="en-US" w:eastAsia="zh-CN"/>
        </w:rPr>
        <w:t>10.2.</w:t>
      </w:r>
      <w:r>
        <w:rPr>
          <w:rFonts w:hint="eastAsia" w:eastAsia="宋体"/>
          <w:b/>
          <w:bCs w:val="0"/>
          <w:color w:val="auto"/>
          <w:sz w:val="30"/>
          <w:szCs w:val="30"/>
          <w:highlight w:val="none"/>
          <w:lang w:val="en-US" w:eastAsia="zh-CN"/>
        </w:rPr>
        <w:t>3</w:t>
      </w:r>
      <w:r>
        <w:rPr>
          <w:rFonts w:hint="eastAsia" w:ascii="Times New Roman" w:hAnsi="Times New Roman" w:eastAsia="宋体"/>
          <w:b/>
          <w:bCs w:val="0"/>
          <w:color w:val="auto"/>
          <w:sz w:val="30"/>
          <w:szCs w:val="30"/>
          <w:highlight w:val="none"/>
          <w:lang w:val="en-US" w:eastAsia="zh-CN"/>
        </w:rPr>
        <w:t xml:space="preserve"> 土壤环境质量现状评价结论</w:t>
      </w:r>
      <w:bookmarkEnd w:id="45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15</w:t>
      </w:r>
      <w:r>
        <w:rPr>
          <w:rFonts w:hint="eastAsia" w:ascii="Times New Roman" w:hAnsi="Times New Roman" w:eastAsia="宋体" w:cs="宋体"/>
          <w:b w:val="0"/>
          <w:bCs/>
          <w:color w:val="auto"/>
          <w:sz w:val="24"/>
          <w:szCs w:val="24"/>
          <w:highlight w:val="none"/>
          <w:lang w:val="en-US" w:eastAsia="zh-CN"/>
        </w:rPr>
        <w:t>日对项目区土壤环境质量进行了监测，监测结果表示，监测期间各监测点各项目监测因子均未超过标准，表明评价区整体土壤环境质量良好，尚未受到有害物质污染。</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53" w:name="_bookmark151"/>
      <w:bookmarkEnd w:id="453"/>
      <w:bookmarkStart w:id="454" w:name="9.2.5生态环境质量现状评价结论"/>
      <w:bookmarkEnd w:id="454"/>
      <w:bookmarkStart w:id="455" w:name="_Toc26671"/>
      <w:r>
        <w:rPr>
          <w:rFonts w:hint="eastAsia" w:ascii="Times New Roman" w:hAnsi="Times New Roman" w:eastAsia="宋体"/>
          <w:b/>
          <w:bCs w:val="0"/>
          <w:color w:val="auto"/>
          <w:sz w:val="30"/>
          <w:szCs w:val="30"/>
          <w:highlight w:val="none"/>
          <w:lang w:val="en-US" w:eastAsia="zh-CN"/>
        </w:rPr>
        <w:t>10.2.</w:t>
      </w:r>
      <w:r>
        <w:rPr>
          <w:rFonts w:hint="eastAsia"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lang w:val="en-US" w:eastAsia="zh-CN"/>
        </w:rPr>
        <w:t xml:space="preserve"> 生态环境质量现状评价结论</w:t>
      </w:r>
      <w:bookmarkEnd w:id="45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本项目</w:t>
      </w:r>
      <w:r>
        <w:rPr>
          <w:rFonts w:hint="eastAsia" w:eastAsia="宋体" w:cs="宋体"/>
          <w:b w:val="0"/>
          <w:bCs/>
          <w:color w:val="auto"/>
          <w:sz w:val="24"/>
          <w:szCs w:val="24"/>
          <w:highlight w:val="none"/>
          <w:lang w:val="en-US" w:eastAsia="zh-CN"/>
        </w:rPr>
        <w:t>对项目区生态环境质量进行了遥感解译和样方调查，</w:t>
      </w:r>
      <w:r>
        <w:rPr>
          <w:rFonts w:hint="eastAsia" w:eastAsia="宋体"/>
          <w:sz w:val="24"/>
          <w:highlight w:val="none"/>
        </w:rPr>
        <w:t>项目区地处干旱草原与荒漠草原过</w:t>
      </w:r>
      <w:r>
        <w:rPr>
          <w:rFonts w:hint="eastAsia" w:eastAsia="宋体"/>
          <w:sz w:val="24"/>
        </w:rPr>
        <w:t>渡地区，由于超载放牧和风蚀、水蚀影响，使得该地区植被覆盖度低，植物群落生产力低下。评价区内主要以典型草原植被为主，其中以小叶锦鸡儿、</w:t>
      </w:r>
      <w:r>
        <w:rPr>
          <w:rFonts w:hint="eastAsia" w:eastAsia="宋体"/>
          <w:sz w:val="24"/>
          <w:lang w:val="en-US" w:eastAsia="zh-CN"/>
        </w:rPr>
        <w:t>芨芨草等</w:t>
      </w:r>
      <w:r>
        <w:rPr>
          <w:rFonts w:hint="eastAsia" w:eastAsia="宋体"/>
          <w:sz w:val="24"/>
        </w:rPr>
        <w:t>为评价区内的优势种群。土地利用类型主要为草地及工矿用地。主要地带性土壤类型为栗钙土，非地带性土壤为风沙土，质地为砂壤土，土壤瘠薄，养分含量低，低氮中磷区。区域内未发现有珍稀濒危野生动物栖息与繁殖地分布。总体来看，本项目所在地区域植被以灌木、半灌木、多年生草本和一、二年生草本为主，植被覆盖度为</w:t>
      </w:r>
      <w:r>
        <w:rPr>
          <w:rFonts w:hint="eastAsia" w:eastAsia="宋体"/>
          <w:sz w:val="24"/>
          <w:lang w:val="en-US" w:eastAsia="zh-CN"/>
        </w:rPr>
        <w:t>15</w:t>
      </w:r>
      <w:r>
        <w:rPr>
          <w:rFonts w:hint="eastAsia" w:eastAsia="宋体"/>
          <w:sz w:val="24"/>
        </w:rPr>
        <w:t>～</w:t>
      </w:r>
      <w:r>
        <w:rPr>
          <w:rFonts w:hint="eastAsia" w:eastAsia="宋体"/>
          <w:sz w:val="24"/>
          <w:lang w:val="en-US" w:eastAsia="zh-CN"/>
        </w:rPr>
        <w:t>20</w:t>
      </w:r>
      <w:r>
        <w:rPr>
          <w:rFonts w:hint="eastAsia" w:eastAsia="宋体"/>
          <w:sz w:val="24"/>
        </w:rPr>
        <w:t>%左右，干草产量</w:t>
      </w:r>
      <w:r>
        <w:rPr>
          <w:rFonts w:hint="eastAsia" w:eastAsia="宋体"/>
          <w:sz w:val="24"/>
          <w:lang w:val="en-US" w:eastAsia="zh-CN"/>
        </w:rPr>
        <w:t>5</w:t>
      </w:r>
      <w:r>
        <w:rPr>
          <w:rFonts w:hint="eastAsia" w:eastAsia="宋体"/>
          <w:sz w:val="24"/>
        </w:rPr>
        <w:t>0kg/亩左右，土壤流失严重，生态环境较弱。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56" w:name="_bookmark152"/>
      <w:bookmarkEnd w:id="456"/>
      <w:bookmarkStart w:id="457" w:name="9.3环境影响分析"/>
      <w:bookmarkEnd w:id="457"/>
      <w:bookmarkStart w:id="458" w:name="_Toc29501"/>
      <w:r>
        <w:rPr>
          <w:rFonts w:hint="eastAsia" w:ascii="Times New Roman" w:hAnsi="Times New Roman" w:eastAsia="宋体" w:cs="Times New Roman"/>
          <w:b/>
          <w:bCs w:val="0"/>
          <w:color w:val="auto"/>
          <w:kern w:val="2"/>
          <w:sz w:val="32"/>
          <w:szCs w:val="32"/>
          <w:highlight w:val="none"/>
          <w:lang w:val="en-US" w:eastAsia="zh-CN" w:bidi="ar-SA"/>
        </w:rPr>
        <w:t>10.3 环境影响分析</w:t>
      </w:r>
      <w:bookmarkEnd w:id="45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59" w:name="_bookmark153"/>
      <w:bookmarkEnd w:id="459"/>
      <w:bookmarkStart w:id="460" w:name="9.3.1环境空气"/>
      <w:bookmarkEnd w:id="460"/>
      <w:bookmarkStart w:id="461" w:name="_Toc14323"/>
      <w:r>
        <w:rPr>
          <w:rFonts w:hint="eastAsia" w:ascii="Times New Roman" w:hAnsi="Times New Roman" w:eastAsia="宋体"/>
          <w:b/>
          <w:bCs w:val="0"/>
          <w:color w:val="auto"/>
          <w:sz w:val="30"/>
          <w:szCs w:val="30"/>
          <w:highlight w:val="none"/>
          <w:lang w:val="en-US" w:eastAsia="zh-CN"/>
        </w:rPr>
        <w:t>10.3.1 环境空气</w:t>
      </w:r>
      <w:bookmarkEnd w:id="461"/>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露天采场</w:t>
      </w:r>
      <w:r>
        <w:rPr>
          <w:rFonts w:hint="eastAsia" w:eastAsia="宋体" w:cs="宋体"/>
          <w:b w:val="0"/>
          <w:bCs/>
          <w:color w:val="FF0000"/>
          <w:sz w:val="24"/>
          <w:szCs w:val="24"/>
          <w:highlight w:val="none"/>
          <w:lang w:val="en-US" w:eastAsia="zh-CN"/>
        </w:rPr>
        <w:t>：开采面</w:t>
      </w:r>
      <w:r>
        <w:rPr>
          <w:rFonts w:hint="eastAsia" w:eastAsia="宋体"/>
          <w:b w:val="0"/>
          <w:bCs/>
          <w:color w:val="FF0000"/>
          <w:highlight w:val="none"/>
          <w:lang w:val="en-US" w:eastAsia="zh-CN"/>
        </w:rPr>
        <w:t>采取雾炮降尘、降低作业面、大风天气停止作业，</w:t>
      </w:r>
      <w:r>
        <w:rPr>
          <w:rFonts w:hint="eastAsia" w:ascii="Times New Roman" w:hAnsi="Times New Roman" w:eastAsia="宋体" w:cs="宋体"/>
          <w:b w:val="0"/>
          <w:bCs/>
          <w:color w:val="FF0000"/>
          <w:sz w:val="24"/>
          <w:szCs w:val="24"/>
          <w:highlight w:val="none"/>
          <w:lang w:val="en-US" w:eastAsia="zh-CN"/>
        </w:rPr>
        <w:t>矿石装车前进行洒水抑尘，规范装车作业，防止</w:t>
      </w:r>
      <w:r>
        <w:rPr>
          <w:rFonts w:hint="eastAsia" w:eastAsia="宋体" w:cs="宋体"/>
          <w:b w:val="0"/>
          <w:bCs/>
          <w:color w:val="FF0000"/>
          <w:sz w:val="24"/>
          <w:szCs w:val="24"/>
          <w:highlight w:val="none"/>
          <w:lang w:val="en-US" w:eastAsia="zh-CN"/>
        </w:rPr>
        <w:t>砂料</w:t>
      </w:r>
      <w:r>
        <w:rPr>
          <w:rFonts w:hint="eastAsia" w:ascii="Times New Roman" w:hAnsi="Times New Roman" w:eastAsia="宋体" w:cs="宋体"/>
          <w:b w:val="0"/>
          <w:bCs/>
          <w:color w:val="FF0000"/>
          <w:sz w:val="24"/>
          <w:szCs w:val="24"/>
          <w:highlight w:val="none"/>
          <w:lang w:val="en-US" w:eastAsia="zh-CN"/>
        </w:rPr>
        <w:t>随意洒落，降低扬尘产生量，减少对环境影响。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回填区作业面：采坑1回填区作为优先回填区，通过控制作业面、降低作业高度、对回填的物料尽快压实、大风天气禁止作业以及洒水抑尘的措施，减少粉尘产生量，且回填区主要回填的物料为废弃石子和脱水底泥，均不易起尘。</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筛分工序：筛分工序通过采取雾炮降尘、降低作业面、大风天气停止作业等措施，降低扬尘产生量，减少对环境影响。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成品</w:t>
      </w:r>
      <w:r>
        <w:rPr>
          <w:rFonts w:hint="eastAsia" w:ascii="Times New Roman" w:hAnsi="Times New Roman" w:eastAsia="宋体" w:cs="宋体"/>
          <w:b w:val="0"/>
          <w:bCs/>
          <w:color w:val="FF0000"/>
          <w:sz w:val="24"/>
          <w:szCs w:val="24"/>
          <w:highlight w:val="none"/>
          <w:lang w:val="en-US" w:eastAsia="zh-CN"/>
        </w:rPr>
        <w:t>堆场</w:t>
      </w:r>
      <w:r>
        <w:rPr>
          <w:rFonts w:hint="eastAsia" w:eastAsia="宋体" w:cs="宋体"/>
          <w:b w:val="0"/>
          <w:bCs/>
          <w:color w:val="FF0000"/>
          <w:sz w:val="24"/>
          <w:szCs w:val="24"/>
          <w:highlight w:val="none"/>
          <w:lang w:val="en-US" w:eastAsia="zh-CN"/>
        </w:rPr>
        <w:t>：</w:t>
      </w: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水洗后砂料含水量较高，于成品堆场临时堆放，</w:t>
      </w:r>
      <w:r>
        <w:rPr>
          <w:rFonts w:hint="eastAsia" w:ascii="Times New Roman" w:hAnsi="Times New Roman" w:eastAsia="宋体" w:cs="宋体"/>
          <w:b w:val="0"/>
          <w:bCs/>
          <w:color w:val="FF0000"/>
          <w:sz w:val="24"/>
          <w:szCs w:val="24"/>
          <w:highlight w:val="none"/>
          <w:lang w:val="en-US" w:eastAsia="zh-CN"/>
        </w:rPr>
        <w:t>起尘量较少，</w:t>
      </w:r>
      <w:r>
        <w:rPr>
          <w:rFonts w:hint="eastAsia" w:eastAsia="宋体" w:cs="宋体"/>
          <w:b w:val="0"/>
          <w:bCs/>
          <w:color w:val="FF0000"/>
          <w:sz w:val="24"/>
          <w:szCs w:val="24"/>
          <w:highlight w:val="none"/>
          <w:lang w:val="en-US" w:eastAsia="zh-CN"/>
        </w:rPr>
        <w:t>表面苫盖</w:t>
      </w:r>
      <w:r>
        <w:rPr>
          <w:rFonts w:hint="eastAsia" w:ascii="Times New Roman" w:hAnsi="Times New Roman" w:eastAsia="宋体" w:cs="宋体"/>
          <w:b w:val="0"/>
          <w:bCs/>
          <w:color w:val="FF0000"/>
          <w:sz w:val="24"/>
          <w:szCs w:val="24"/>
          <w:highlight w:val="none"/>
          <w:lang w:val="en-US" w:eastAsia="zh-CN"/>
        </w:rPr>
        <w:t>抑尘</w:t>
      </w:r>
      <w:r>
        <w:rPr>
          <w:rFonts w:hint="eastAsia" w:eastAsia="宋体" w:cs="宋体"/>
          <w:b w:val="0"/>
          <w:bCs/>
          <w:color w:val="FF0000"/>
          <w:sz w:val="24"/>
          <w:szCs w:val="24"/>
          <w:highlight w:val="none"/>
          <w:lang w:val="en-US" w:eastAsia="zh-CN"/>
        </w:rPr>
        <w:t>，减少堆存时间</w:t>
      </w:r>
      <w:r>
        <w:rPr>
          <w:rFonts w:hint="eastAsia" w:ascii="Times New Roman" w:hAnsi="Times New Roman" w:eastAsia="宋体" w:cs="宋体"/>
          <w:b w:val="0"/>
          <w:bCs/>
          <w:color w:val="FF0000"/>
          <w:sz w:val="24"/>
          <w:szCs w:val="24"/>
          <w:highlight w:val="none"/>
          <w:lang w:val="en-US" w:eastAsia="zh-CN"/>
        </w:rPr>
        <w:t>即可减少其对环境影响。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矿石转运</w:t>
      </w:r>
      <w:r>
        <w:rPr>
          <w:rFonts w:hint="eastAsia" w:eastAsia="宋体" w:cs="宋体"/>
          <w:b w:val="0"/>
          <w:bCs/>
          <w:color w:val="FF0000"/>
          <w:sz w:val="24"/>
          <w:szCs w:val="24"/>
          <w:highlight w:val="none"/>
          <w:lang w:val="en-US" w:eastAsia="zh-CN"/>
        </w:rPr>
        <w:t>：</w:t>
      </w:r>
      <w:r>
        <w:rPr>
          <w:rFonts w:hint="eastAsia" w:ascii="Times New Roman" w:hAnsi="Times New Roman" w:eastAsia="宋体" w:cs="宋体"/>
          <w:b w:val="0"/>
          <w:bCs/>
          <w:color w:val="FF0000"/>
          <w:sz w:val="24"/>
          <w:szCs w:val="24"/>
          <w:highlight w:val="none"/>
          <w:lang w:val="en-US" w:eastAsia="zh-CN"/>
        </w:rPr>
        <w:t>挖掘机将</w:t>
      </w:r>
      <w:r>
        <w:rPr>
          <w:rFonts w:hint="eastAsia" w:eastAsia="宋体" w:cs="宋体"/>
          <w:b w:val="0"/>
          <w:bCs/>
          <w:color w:val="FF0000"/>
          <w:sz w:val="24"/>
          <w:szCs w:val="24"/>
          <w:highlight w:val="none"/>
          <w:lang w:val="en-US" w:eastAsia="zh-CN"/>
        </w:rPr>
        <w:t>砂料</w:t>
      </w:r>
      <w:r>
        <w:rPr>
          <w:rFonts w:hint="eastAsia" w:ascii="Times New Roman" w:hAnsi="Times New Roman" w:eastAsia="宋体" w:cs="宋体"/>
          <w:b w:val="0"/>
          <w:bCs/>
          <w:color w:val="FF0000"/>
          <w:sz w:val="24"/>
          <w:szCs w:val="24"/>
          <w:highlight w:val="none"/>
          <w:lang w:val="en-US" w:eastAsia="zh-CN"/>
        </w:rPr>
        <w:t>装入自卸车将会产生一定量的扬尘，采取洒水抑尘，可有效降低扬尘产生，减少对环境影响。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运输道路</w:t>
      </w:r>
      <w:r>
        <w:rPr>
          <w:rFonts w:hint="eastAsia" w:eastAsia="宋体" w:cs="宋体"/>
          <w:b w:val="0"/>
          <w:bCs/>
          <w:color w:val="FF0000"/>
          <w:sz w:val="24"/>
          <w:szCs w:val="24"/>
          <w:highlight w:val="none"/>
          <w:lang w:val="en-US" w:eastAsia="zh-CN"/>
        </w:rPr>
        <w:t>：</w:t>
      </w:r>
      <w:r>
        <w:rPr>
          <w:rFonts w:hint="eastAsia" w:ascii="Times New Roman" w:hAnsi="Times New Roman" w:eastAsia="宋体" w:cs="宋体"/>
          <w:b w:val="0"/>
          <w:bCs/>
          <w:color w:val="FF0000"/>
          <w:sz w:val="24"/>
          <w:szCs w:val="24"/>
          <w:highlight w:val="none"/>
          <w:lang w:val="en-US" w:eastAsia="zh-CN"/>
        </w:rPr>
        <w:t>内部运输路段为砂石路，在大风天气对内部道路进行洒水抑尘和清扫路面，降低扬尘产生量，同时对运输车辆加盖苫布、车辆减速慢行等措施后，扬尘排放量将会大幅度减小，对周边环境影响也会降低。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在采取上述措施后，大气污染物均能达标排放，对环境影响较小。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62" w:name="9.3.2水环境"/>
      <w:bookmarkEnd w:id="462"/>
      <w:bookmarkStart w:id="463" w:name="_bookmark154"/>
      <w:bookmarkEnd w:id="463"/>
      <w:bookmarkStart w:id="464" w:name="_Toc19043"/>
      <w:r>
        <w:rPr>
          <w:rFonts w:hint="eastAsia" w:ascii="Times New Roman" w:hAnsi="Times New Roman" w:eastAsia="宋体"/>
          <w:b/>
          <w:bCs w:val="0"/>
          <w:color w:val="auto"/>
          <w:sz w:val="30"/>
          <w:szCs w:val="30"/>
          <w:highlight w:val="none"/>
          <w:lang w:val="en-US" w:eastAsia="zh-CN"/>
        </w:rPr>
        <w:t>10.3.2 水环境</w:t>
      </w:r>
      <w:bookmarkEnd w:id="46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本项目废水污染源为</w:t>
      </w:r>
      <w:r>
        <w:rPr>
          <w:rFonts w:hint="eastAsia" w:ascii="Times New Roman" w:hAnsi="Times New Roman" w:eastAsia="宋体"/>
          <w:color w:val="auto"/>
          <w:highlight w:val="none"/>
          <w:lang w:val="en-US" w:eastAsia="zh-CN"/>
        </w:rPr>
        <w:t>洗砂废水及</w:t>
      </w:r>
      <w:r>
        <w:rPr>
          <w:rFonts w:hint="eastAsia" w:ascii="Times New Roman" w:hAnsi="Times New Roman" w:eastAsia="宋体"/>
          <w:color w:val="auto"/>
          <w:highlight w:val="none"/>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洗砂废水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val="en-US"/>
        </w:rPr>
      </w:pPr>
      <w:r>
        <w:rPr>
          <w:rFonts w:hint="eastAsia" w:ascii="Times New Roman" w:hAnsi="Times New Roman" w:eastAsia="宋体"/>
          <w:color w:val="auto"/>
          <w:highlight w:val="none"/>
        </w:rPr>
        <w:t>根据本项目工程分析结果，该项目</w:t>
      </w:r>
      <w:r>
        <w:rPr>
          <w:rFonts w:hint="eastAsia" w:ascii="Times New Roman" w:hAnsi="Times New Roman" w:eastAsia="宋体"/>
          <w:color w:val="auto"/>
          <w:highlight w:val="none"/>
          <w:lang w:val="en-US" w:eastAsia="zh-CN"/>
        </w:rPr>
        <w:t>洗沙用水量为37100m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/a（新鲜用水量为6270m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/a，循环用水量为30830m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ascii="Times New Roman" w:hAnsi="Times New Roman" w:eastAsia="宋体"/>
          <w:color w:val="auto"/>
          <w:highlight w:val="none"/>
          <w:lang w:val="en-US" w:eastAsia="zh-CN"/>
        </w:rPr>
        <w:t>使用</w:t>
      </w:r>
      <w:r>
        <w:rPr>
          <w:rFonts w:hint="eastAsia" w:ascii="Times New Roman" w:hAnsi="Times New Roman" w:eastAsia="宋体"/>
          <w:color w:val="auto"/>
          <w:highlight w:val="none"/>
        </w:rPr>
        <w:t>既有的</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委托第三方拉运至朱日和镇生活污水处理厂进行进一步处理</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65" w:name="9.3.3声环境"/>
      <w:bookmarkEnd w:id="465"/>
      <w:bookmarkStart w:id="466" w:name="_bookmark155"/>
      <w:bookmarkEnd w:id="466"/>
      <w:bookmarkStart w:id="467" w:name="_Toc31432"/>
      <w:r>
        <w:rPr>
          <w:rFonts w:hint="eastAsia" w:ascii="Times New Roman" w:hAnsi="Times New Roman" w:eastAsia="宋体"/>
          <w:b/>
          <w:bCs w:val="0"/>
          <w:color w:val="auto"/>
          <w:sz w:val="30"/>
          <w:szCs w:val="30"/>
          <w:highlight w:val="none"/>
          <w:lang w:val="en-US" w:eastAsia="zh-CN"/>
        </w:rPr>
        <w:t>10.3.3 声环境</w:t>
      </w:r>
      <w:bookmarkEnd w:id="46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本项目采矿工业场地及</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val="en-US" w:eastAsia="zh-CN"/>
        </w:rPr>
        <w:t>厂界200m范围内噪声值均达到符合《工业企业厂界环境噪声排放标准》（GB12348-2008）2类标准，对周边环境无不良影响。对外运输要使用大型专业车辆，不得使用噪声级较大的农用车，非特殊情况，车辆尽量减少鸣笛以减轻车辆噪声对沿途声环境的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68" w:name="_bookmark156"/>
      <w:bookmarkEnd w:id="468"/>
      <w:bookmarkStart w:id="469" w:name="9.3.4固体废物"/>
      <w:bookmarkEnd w:id="469"/>
      <w:bookmarkStart w:id="470" w:name="_Toc22059"/>
      <w:r>
        <w:rPr>
          <w:rFonts w:hint="eastAsia" w:ascii="Times New Roman" w:hAnsi="Times New Roman" w:eastAsia="宋体"/>
          <w:b/>
          <w:bCs w:val="0"/>
          <w:color w:val="auto"/>
          <w:sz w:val="30"/>
          <w:szCs w:val="30"/>
          <w:highlight w:val="none"/>
          <w:lang w:val="en-US" w:eastAsia="zh-CN"/>
        </w:rPr>
        <w:t>10.3.4 固体废物</w:t>
      </w:r>
      <w:bookmarkEnd w:id="47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r>
        <w:rPr>
          <w:rFonts w:hint="eastAsia" w:eastAsia="宋体"/>
          <w:color w:val="FF0000"/>
          <w:highlight w:val="none"/>
          <w:lang w:val="en-US" w:eastAsia="zh-CN"/>
        </w:rPr>
        <w:t>在筛分工序分离出石子，本环评要求，能出售利用的优先出售利用，不能出售的再</w:t>
      </w:r>
      <w:r>
        <w:rPr>
          <w:rFonts w:hint="eastAsia" w:ascii="Times New Roman" w:hAnsi="Times New Roman" w:eastAsia="宋体"/>
          <w:color w:val="FF0000"/>
          <w:highlight w:val="none"/>
        </w:rPr>
        <w:t>回填到采空区。</w:t>
      </w:r>
      <w:r>
        <w:rPr>
          <w:rFonts w:hint="eastAsia" w:eastAsia="宋体"/>
          <w:color w:val="FF0000"/>
          <w:highlight w:val="none"/>
          <w:lang w:val="en-US" w:eastAsia="zh-CN"/>
        </w:rPr>
        <w:t>沉淀池底泥经浓缩脱水机脱水后</w:t>
      </w:r>
      <w:r>
        <w:rPr>
          <w:rFonts w:hint="eastAsia" w:eastAsia="宋体"/>
          <w:color w:val="FF0000"/>
          <w:highlight w:val="none"/>
          <w:vertAlign w:val="baseline"/>
          <w:lang w:val="en-US" w:eastAsia="zh-CN"/>
        </w:rPr>
        <w:t>，</w:t>
      </w:r>
      <w:r>
        <w:rPr>
          <w:rFonts w:hint="eastAsia" w:ascii="Times New Roman" w:hAnsi="Times New Roman" w:eastAsia="宋体"/>
          <w:color w:val="FF0000"/>
          <w:highlight w:val="none"/>
        </w:rPr>
        <w:t>最终全部回填到采空区。</w:t>
      </w:r>
      <w:r>
        <w:rPr>
          <w:rFonts w:hint="eastAsia" w:eastAsia="宋体"/>
          <w:color w:val="FF0000"/>
          <w:highlight w:val="none"/>
          <w:lang w:val="en-US" w:eastAsia="zh-CN"/>
        </w:rPr>
        <w:t>废石子、脱水底泥优先回填至采坑1，待采坑1填满后，将采坑2成品堆场（采空区）作为回填区回填，成品堆场沿着采坑2推进。</w:t>
      </w:r>
      <w:r>
        <w:rPr>
          <w:rFonts w:hint="eastAsia" w:ascii="Times New Roman" w:hAnsi="Times New Roman" w:eastAsia="宋体"/>
          <w:color w:val="FF0000"/>
          <w:highlight w:val="none"/>
        </w:rPr>
        <w:t>生活垃圾集中收集后，按环卫部门要求统一处理。</w:t>
      </w:r>
      <w:r>
        <w:rPr>
          <w:rFonts w:hint="eastAsia" w:eastAsia="宋体"/>
          <w:color w:val="FF0000"/>
          <w:highlight w:val="none"/>
          <w:lang w:val="en-US" w:eastAsia="zh-CN"/>
        </w:rPr>
        <w:t>开采过程中未开采区会产生表土，堆放于工业场地西侧新设表土堆场，用于矿区覆土。表土堆场采取苫盖措施。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71" w:name="9.3.5生态环境"/>
      <w:bookmarkEnd w:id="471"/>
      <w:bookmarkStart w:id="472" w:name="_bookmark157"/>
      <w:bookmarkEnd w:id="472"/>
      <w:bookmarkStart w:id="473" w:name="_Toc21313"/>
      <w:r>
        <w:rPr>
          <w:rFonts w:hint="eastAsia" w:ascii="Times New Roman" w:hAnsi="Times New Roman" w:eastAsia="宋体"/>
          <w:b/>
          <w:bCs w:val="0"/>
          <w:color w:val="auto"/>
          <w:sz w:val="30"/>
          <w:szCs w:val="30"/>
          <w:highlight w:val="none"/>
          <w:lang w:val="en-US" w:eastAsia="zh-CN"/>
        </w:rPr>
        <w:t>10.3.5 生态环境</w:t>
      </w:r>
      <w:bookmarkEnd w:id="47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在项目建设过程中，使部分植被受到破坏，但总的植被分布格局不会被打破。 运营中，周边生态环境受到人为活动的影响将逐渐增加，导致原有生态环境结构发生一定调整，但在积极实施生态恢复与防治的情况下，其影响将被控制在一定范围内，并具有改善的可能性。同时建设单位在严格按照环评即土地复垦规定进行土地复垦、水土保持及恢复植被，可将项目对评价区的生态影响降低到最低程度。因此本项目工程建设及运营期带来的影响是区域自然体系可以承受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综上所述，项目实施后，废气、废水、噪声、固体废物以及生态破坏对周围环境的影响较小，可以接受。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74" w:name="9.4环境经济损益分析"/>
      <w:bookmarkEnd w:id="474"/>
      <w:bookmarkStart w:id="475" w:name="_bookmark158"/>
      <w:bookmarkEnd w:id="475"/>
      <w:bookmarkStart w:id="476" w:name="_Toc28531"/>
      <w:r>
        <w:rPr>
          <w:rFonts w:hint="eastAsia" w:ascii="Times New Roman" w:hAnsi="Times New Roman" w:eastAsia="宋体" w:cs="Times New Roman"/>
          <w:b/>
          <w:bCs w:val="0"/>
          <w:color w:val="auto"/>
          <w:kern w:val="2"/>
          <w:sz w:val="32"/>
          <w:szCs w:val="32"/>
          <w:highlight w:val="none"/>
          <w:lang w:val="en-US" w:eastAsia="zh-CN" w:bidi="ar-SA"/>
        </w:rPr>
        <w:t>10.4 环境经济损益分析</w:t>
      </w:r>
      <w:bookmarkEnd w:id="47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建成后，经济及社会效益明显，在采取了本环评报告要求的污染防治和生态保护措施后，项目区的水环境、大气环境、声环境和生态环境总体维持在原有水平。实现环境效益、社会效益、经济效益及资源效益的协调发展，使矿山的负面影响减小到最低，保证矿山的正效益大于负面效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77" w:name="9.5清洁生产分析"/>
      <w:bookmarkEnd w:id="477"/>
      <w:bookmarkStart w:id="478" w:name="_bookmark159"/>
      <w:bookmarkEnd w:id="478"/>
      <w:bookmarkStart w:id="479" w:name="_Toc23792"/>
      <w:r>
        <w:rPr>
          <w:rFonts w:hint="eastAsia" w:ascii="Times New Roman" w:hAnsi="Times New Roman" w:eastAsia="宋体" w:cs="Times New Roman"/>
          <w:b/>
          <w:bCs w:val="0"/>
          <w:color w:val="auto"/>
          <w:kern w:val="2"/>
          <w:sz w:val="32"/>
          <w:szCs w:val="32"/>
          <w:highlight w:val="none"/>
          <w:lang w:val="en-US" w:eastAsia="zh-CN" w:bidi="ar-SA"/>
        </w:rPr>
        <w:t>10.5 清洁生产分析</w:t>
      </w:r>
      <w:bookmarkEnd w:id="47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综合分析本项目国内清洁生产基本水平。企业严格按照设计指标进行生产运 营，并在生产中结合实际情况，不断完善提高设计指标，同时，严格落实本报告提出的清洁生产措施及相关的环保对策措施，并及时按照国家现行的有关清洁生产的政策、法规做好清洁生产工作，企业可以达到清洁生产企业的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80" w:name="_bookmark160"/>
      <w:bookmarkEnd w:id="480"/>
      <w:bookmarkStart w:id="481" w:name="9.6公众参与"/>
      <w:bookmarkEnd w:id="481"/>
      <w:bookmarkStart w:id="482" w:name="_Toc6382"/>
      <w:r>
        <w:rPr>
          <w:rFonts w:hint="eastAsia" w:ascii="Times New Roman" w:hAnsi="Times New Roman" w:eastAsia="宋体" w:cs="Times New Roman"/>
          <w:b/>
          <w:bCs w:val="0"/>
          <w:color w:val="auto"/>
          <w:kern w:val="2"/>
          <w:sz w:val="32"/>
          <w:szCs w:val="32"/>
          <w:highlight w:val="none"/>
          <w:lang w:val="en-US" w:eastAsia="zh-CN" w:bidi="ar-SA"/>
        </w:rPr>
        <w:t>10.6 公众参与</w:t>
      </w:r>
      <w:bookmarkEnd w:id="48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扩建</w:t>
      </w:r>
      <w:r>
        <w:rPr>
          <w:rFonts w:hint="eastAsia" w:ascii="Times New Roman" w:hAnsi="Times New Roman" w:eastAsia="宋体"/>
          <w:color w:val="auto"/>
          <w:highlight w:val="none"/>
          <w:lang w:eastAsia="zh-CN"/>
        </w:rPr>
        <w:t>项目</w:t>
      </w:r>
      <w:r>
        <w:rPr>
          <w:rFonts w:hint="eastAsia" w:ascii="Times New Roman" w:hAnsi="Times New Roman" w:eastAsia="宋体" w:cs="宋体"/>
          <w:b w:val="0"/>
          <w:bCs/>
          <w:color w:val="auto"/>
          <w:sz w:val="24"/>
          <w:szCs w:val="24"/>
          <w:highlight w:val="none"/>
          <w:lang w:val="en-US" w:eastAsia="zh-CN"/>
        </w:rPr>
        <w:t>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24</w:t>
      </w:r>
      <w:r>
        <w:rPr>
          <w:rFonts w:hint="eastAsia" w:ascii="Times New Roman" w:hAnsi="Times New Roman" w:eastAsia="宋体" w:cs="宋体"/>
          <w:b w:val="0"/>
          <w:bCs/>
          <w:color w:val="auto"/>
          <w:sz w:val="24"/>
          <w:szCs w:val="24"/>
          <w:highlight w:val="none"/>
          <w:lang w:val="en-US" w:eastAsia="zh-CN"/>
        </w:rPr>
        <w:t>日在</w:t>
      </w:r>
      <w:r>
        <w:rPr>
          <w:rFonts w:hint="eastAsia" w:eastAsia="宋体" w:cs="宋体"/>
          <w:b w:val="0"/>
          <w:bCs/>
          <w:color w:val="auto"/>
          <w:sz w:val="24"/>
          <w:szCs w:val="24"/>
          <w:highlight w:val="none"/>
          <w:lang w:val="en-US" w:eastAsia="zh-CN"/>
        </w:rPr>
        <w:t>苏尼特右旗政府门户</w:t>
      </w:r>
      <w:r>
        <w:rPr>
          <w:rFonts w:hint="eastAsia" w:ascii="Times New Roman" w:hAnsi="Times New Roman" w:eastAsia="宋体" w:cs="宋体"/>
          <w:b w:val="0"/>
          <w:bCs/>
          <w:color w:val="auto"/>
          <w:sz w:val="24"/>
          <w:szCs w:val="24"/>
          <w:highlight w:val="none"/>
          <w:lang w:val="en-US" w:eastAsia="zh-CN"/>
        </w:rPr>
        <w:t>网站进行了第一次公示；20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30</w:t>
      </w:r>
      <w:r>
        <w:rPr>
          <w:rFonts w:hint="eastAsia" w:ascii="Times New Roman" w:hAnsi="Times New Roman" w:eastAsia="宋体" w:cs="宋体"/>
          <w:b w:val="0"/>
          <w:bCs/>
          <w:color w:val="auto"/>
          <w:sz w:val="24"/>
          <w:szCs w:val="24"/>
          <w:highlight w:val="none"/>
          <w:lang w:val="en-US" w:eastAsia="zh-CN"/>
        </w:rPr>
        <w:t>日在</w:t>
      </w:r>
      <w:r>
        <w:rPr>
          <w:rFonts w:hint="eastAsia" w:eastAsia="宋体" w:cs="宋体"/>
          <w:b w:val="0"/>
          <w:bCs/>
          <w:color w:val="auto"/>
          <w:sz w:val="24"/>
          <w:szCs w:val="24"/>
          <w:highlight w:val="none"/>
          <w:lang w:val="en-US" w:eastAsia="zh-CN"/>
        </w:rPr>
        <w:t>苏尼特右旗政府</w:t>
      </w:r>
      <w:r>
        <w:rPr>
          <w:rFonts w:hint="eastAsia" w:ascii="Times New Roman" w:hAnsi="Times New Roman" w:eastAsia="宋体" w:cs="宋体"/>
          <w:b w:val="0"/>
          <w:bCs/>
          <w:color w:val="auto"/>
          <w:sz w:val="24"/>
          <w:szCs w:val="24"/>
          <w:highlight w:val="none"/>
          <w:lang w:val="en-US" w:eastAsia="zh-CN"/>
        </w:rPr>
        <w:t>网站进行第二次公示；在此公示期间在</w:t>
      </w:r>
      <w:r>
        <w:rPr>
          <w:rFonts w:hint="eastAsia" w:eastAsia="宋体" w:cs="宋体"/>
          <w:b w:val="0"/>
          <w:bCs/>
          <w:color w:val="auto"/>
          <w:sz w:val="24"/>
          <w:szCs w:val="24"/>
          <w:highlight w:val="none"/>
          <w:lang w:val="en-US" w:eastAsia="zh-CN"/>
        </w:rPr>
        <w:t>锡林郭勒盟日报</w:t>
      </w:r>
      <w:r>
        <w:rPr>
          <w:rFonts w:hint="eastAsia" w:ascii="Times New Roman" w:hAnsi="Times New Roman" w:eastAsia="宋体" w:cs="宋体"/>
          <w:b w:val="0"/>
          <w:bCs/>
          <w:color w:val="auto"/>
          <w:sz w:val="24"/>
          <w:szCs w:val="24"/>
          <w:highlight w:val="none"/>
          <w:lang w:val="en-US" w:eastAsia="zh-CN"/>
        </w:rPr>
        <w:t>刊登了两期报纸；在</w:t>
      </w:r>
      <w:r>
        <w:rPr>
          <w:rFonts w:hint="eastAsia" w:eastAsia="宋体" w:cs="宋体"/>
          <w:b w:val="0"/>
          <w:bCs/>
          <w:color w:val="auto"/>
          <w:sz w:val="24"/>
          <w:szCs w:val="24"/>
          <w:highlight w:val="none"/>
          <w:lang w:val="en-US" w:eastAsia="zh-CN"/>
        </w:rPr>
        <w:t>附近居民</w:t>
      </w:r>
      <w:r>
        <w:rPr>
          <w:rFonts w:hint="eastAsia" w:ascii="Times New Roman" w:hAnsi="Times New Roman" w:eastAsia="宋体" w:cs="宋体"/>
          <w:b w:val="0"/>
          <w:bCs/>
          <w:color w:val="auto"/>
          <w:sz w:val="24"/>
          <w:szCs w:val="24"/>
          <w:highlight w:val="none"/>
          <w:lang w:val="en-US" w:eastAsia="zh-CN"/>
        </w:rPr>
        <w:t xml:space="preserve">进行公示，公示时间为 </w:t>
      </w:r>
      <w:r>
        <w:rPr>
          <w:rFonts w:hint="eastAsia"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30</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7</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13</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10</w:t>
      </w:r>
      <w:r>
        <w:rPr>
          <w:rFonts w:hint="eastAsia" w:ascii="Times New Roman" w:hAnsi="Times New Roman" w:eastAsia="宋体" w:cs="宋体"/>
          <w:b w:val="0"/>
          <w:bCs/>
          <w:color w:val="auto"/>
          <w:sz w:val="24"/>
          <w:szCs w:val="24"/>
          <w:highlight w:val="none"/>
          <w:lang w:val="en-US" w:eastAsia="zh-CN"/>
        </w:rPr>
        <w:t>个工作日。对本项目的建设均无反对意见。公示期间公众未提出任何反对意见。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83" w:name="9.7综合评价结论"/>
      <w:bookmarkEnd w:id="483"/>
      <w:bookmarkStart w:id="484" w:name="_bookmark161"/>
      <w:bookmarkEnd w:id="484"/>
      <w:bookmarkStart w:id="485" w:name="_Toc14207"/>
      <w:r>
        <w:rPr>
          <w:rFonts w:hint="eastAsia" w:ascii="Times New Roman" w:hAnsi="Times New Roman" w:eastAsia="宋体" w:cs="Times New Roman"/>
          <w:b/>
          <w:bCs w:val="0"/>
          <w:color w:val="auto"/>
          <w:kern w:val="2"/>
          <w:sz w:val="32"/>
          <w:szCs w:val="32"/>
          <w:highlight w:val="none"/>
          <w:lang w:val="en-US" w:eastAsia="zh-CN" w:bidi="ar-SA"/>
        </w:rPr>
        <w:t>10.7 综合评价结论</w:t>
      </w:r>
      <w:bookmarkEnd w:id="48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本项目建设符合国家产业政策，符合内蒙古自治区、</w:t>
      </w:r>
      <w:r>
        <w:rPr>
          <w:rFonts w:hint="eastAsia" w:eastAsia="宋体" w:cs="宋体"/>
          <w:b w:val="0"/>
          <w:bCs/>
          <w:color w:val="auto"/>
          <w:sz w:val="24"/>
          <w:szCs w:val="24"/>
          <w:highlight w:val="none"/>
          <w:lang w:val="en-US" w:eastAsia="zh-CN"/>
        </w:rPr>
        <w:t>苏尼特右旗朱日和</w:t>
      </w:r>
      <w:r>
        <w:rPr>
          <w:rFonts w:hint="eastAsia" w:ascii="Times New Roman" w:hAnsi="Times New Roman" w:eastAsia="宋体" w:cs="宋体"/>
          <w:b w:val="0"/>
          <w:bCs/>
          <w:color w:val="auto"/>
          <w:sz w:val="24"/>
          <w:szCs w:val="24"/>
          <w:highlight w:val="none"/>
          <w:lang w:val="en-US" w:eastAsia="zh-CN"/>
        </w:rPr>
        <w:t>镇总体规划，选址合理；建成后所产生的社会效益明显，同时对带动区域经济发展将产生积极的推动作用。项目在建设过程中不可避免会对周围环境产生不利影响，但只要项目建设方能够在营运期落实本报告书所提出的各项环境保护措施，将所产生的不利环境影响可以减缓到最小。因此，评价认为从环境保护的角度分析，本项目建设 可行。</w:t>
      </w:r>
      <w:bookmarkStart w:id="486" w:name="9.8建议"/>
      <w:bookmarkEnd w:id="486"/>
      <w:bookmarkStart w:id="487" w:name="_bookmark162"/>
      <w:bookmarkEnd w:id="487"/>
    </w:p>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p>
    <w:sectPr>
      <w:headerReference r:id="rId25" w:type="default"/>
      <w:footerReference r:id="rId26"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TimesNewRomanPSMT">
    <w:altName w:val="Times New Roman"/>
    <w:panose1 w:val="02020503050405090304"/>
    <w:charset w:val="00"/>
    <w:family w:val="roman"/>
    <w:pitch w:val="default"/>
    <w:sig w:usb0="00000000" w:usb1="00000000" w:usb2="00000001" w:usb3="00000000" w:csb0="400001BF" w:csb1="DFF7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3900"/>
      </w:tabs>
      <w:ind w:firstLine="0" w:firstLineChars="0"/>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3900"/>
      </w:tabs>
      <w:ind w:firstLine="0" w:firstLineChars="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sdt>
      <w:sdtPr>
        <w:id w:val="1480347356"/>
        <w:showingPlcHdr/>
      </w:sdtPr>
      <w:sdtContent>
        <w: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3900"/>
      </w:tabs>
      <w:ind w:firstLine="0" w:firstLineChars="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80"/>
      </w:pPr>
      <w:r>
        <w:separator/>
      </w:r>
    </w:p>
  </w:footnote>
  <w:footnote w:type="continuationSeparator" w:id="1">
    <w:p>
      <w:pPr>
        <w:spacing w:line="312"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clear" w:pos="8306"/>
      </w:tabs>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rPr>
        <w:rFonts w:ascii="黑体" w:hAnsi="黑体" w:eastAsia="黑体"/>
        <w:sz w:val="21"/>
        <w:szCs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项目环境影响评价报告书</w:t>
    </w:r>
  </w:p>
  <w:p>
    <w:pPr>
      <w:pStyle w:val="2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nThickSmallGap" w:color="auto" w:sz="12"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spacing w:before="0" w:after="0" w:line="14" w:lineRule="auto"/>
      <w:rPr>
        <w:sz w:val="20"/>
        <w:szCs w:val="20"/>
      </w:rPr>
    </w:pPr>
    <w:r>
      <mc:AlternateContent>
        <mc:Choice Requires="wps">
          <w:drawing>
            <wp:anchor distT="0" distB="0" distL="114300" distR="114300" simplePos="0" relativeHeight="251661312" behindDoc="1" locked="0" layoutInCell="1" allowOverlap="1">
              <wp:simplePos x="0" y="0"/>
              <wp:positionH relativeFrom="page">
                <wp:posOffset>2960370</wp:posOffset>
              </wp:positionH>
              <wp:positionV relativeFrom="page">
                <wp:posOffset>380365</wp:posOffset>
              </wp:positionV>
              <wp:extent cx="4829175" cy="155575"/>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4829175" cy="155575"/>
                      </a:xfrm>
                      <a:prstGeom prst="rect">
                        <a:avLst/>
                      </a:prstGeom>
                      <a:noFill/>
                      <a:ln>
                        <a:noFill/>
                      </a:ln>
                    </wps:spPr>
                    <wps:txbx>
                      <w:txbxContent>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rPr>
                              <w:rFonts w:hint="default"/>
                            </w:rPr>
                          </w:pPr>
                        </w:p>
                      </w:txbxContent>
                    </wps:txbx>
                    <wps:bodyPr lIns="0" tIns="0" rIns="0" bIns="0" upright="1"/>
                  </wps:wsp>
                </a:graphicData>
              </a:graphic>
            </wp:anchor>
          </w:drawing>
        </mc:Choice>
        <mc:Fallback>
          <w:pict>
            <v:shape id="_x0000_s1026" o:spid="_x0000_s1026" o:spt="202" type="#_x0000_t202" style="position:absolute;left:0pt;margin-left:233.1pt;margin-top:29.95pt;height:12.25pt;width:380.25pt;mso-position-horizontal-relative:page;mso-position-vertical-relative:page;z-index:-251655168;mso-width-relative:page;mso-height-relative:page;" filled="f" stroked="f" coordsize="21600,21600" o:gfxdata="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mq8T2QAAAAoBAAAPAAAAAAAAAAEAIAAAACIAAABkcnMvZG93bnJldi54bWxQ&#10;SwECFAAUAAAACACHTuJAloLESL0BAAB2AwAADgAAAAAAAAABACAAAAAoAQAAZHJzL2Uyb0RvYy54&#10;bWxQSwUGAAAAAAYABgBZAQAAVwUAAAAA&#10;">
              <v:fill on="f" focussize="0,0"/>
              <v:stroke on="f"/>
              <v:imagedata o:title=""/>
              <o:lock v:ext="edit" aspectratio="f"/>
              <v:textbox inset="0mm,0mm,0mm,0mm">
                <w:txbxContent>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rPr>
                        <w:rFonts w:hint="default"/>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spacing w:before="0" w:after="0" w:line="14" w:lineRule="auto"/>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spacing w:before="0" w:after="0"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174664"/>
    <w:multiLevelType w:val="singleLevel"/>
    <w:tmpl w:val="C5174664"/>
    <w:lvl w:ilvl="0" w:tentative="0">
      <w:start w:val="1"/>
      <w:numFmt w:val="decimal"/>
      <w:suff w:val="nothing"/>
      <w:lvlText w:val="（%1）"/>
      <w:lvlJc w:val="left"/>
    </w:lvl>
  </w:abstractNum>
  <w:abstractNum w:abstractNumId="1">
    <w:nsid w:val="14EC5926"/>
    <w:multiLevelType w:val="singleLevel"/>
    <w:tmpl w:val="14EC5926"/>
    <w:lvl w:ilvl="0" w:tentative="0">
      <w:start w:val="1"/>
      <w:numFmt w:val="decimal"/>
      <w:suff w:val="nothing"/>
      <w:lvlText w:val="（%1）"/>
      <w:lvlJc w:val="left"/>
    </w:lvl>
  </w:abstractNum>
  <w:abstractNum w:abstractNumId="2">
    <w:nsid w:val="40F0EDC2"/>
    <w:multiLevelType w:val="singleLevel"/>
    <w:tmpl w:val="40F0EDC2"/>
    <w:lvl w:ilvl="0" w:tentative="0">
      <w:start w:val="1"/>
      <w:numFmt w:val="decimal"/>
      <w:suff w:val="nothing"/>
      <w:lvlText w:val="（%1）"/>
      <w:lvlJc w:val="left"/>
      <w:pPr>
        <w:ind w:left="480" w:leftChars="0" w:firstLine="0" w:firstLineChars="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hideSpellingErrors/>
  <w:documentProtection w:edit="readOnly" w:formatting="1" w:enforcement="0"/>
  <w:defaultTabStop w:val="420"/>
  <w:drawingGridHorizontalSpacing w:val="240"/>
  <w:drawingGridVerticalSpacing w:val="17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MmM5ZWViZDE5OGI0MjM4NzczOTJkMWU3N2M1YTEifQ=="/>
  </w:docVars>
  <w:rsids>
    <w:rsidRoot w:val="000A2F44"/>
    <w:rsid w:val="00011073"/>
    <w:rsid w:val="00012CA2"/>
    <w:rsid w:val="00017A95"/>
    <w:rsid w:val="000222E7"/>
    <w:rsid w:val="00022DD8"/>
    <w:rsid w:val="00023693"/>
    <w:rsid w:val="00025B47"/>
    <w:rsid w:val="00027627"/>
    <w:rsid w:val="000308B1"/>
    <w:rsid w:val="00030BB8"/>
    <w:rsid w:val="00031DA4"/>
    <w:rsid w:val="00032E5A"/>
    <w:rsid w:val="0003409F"/>
    <w:rsid w:val="000347BE"/>
    <w:rsid w:val="00034C07"/>
    <w:rsid w:val="000353AA"/>
    <w:rsid w:val="0003547E"/>
    <w:rsid w:val="000361B6"/>
    <w:rsid w:val="00040DE0"/>
    <w:rsid w:val="00041455"/>
    <w:rsid w:val="00042EE0"/>
    <w:rsid w:val="00045654"/>
    <w:rsid w:val="000516BC"/>
    <w:rsid w:val="000523F5"/>
    <w:rsid w:val="00061542"/>
    <w:rsid w:val="00061578"/>
    <w:rsid w:val="00064504"/>
    <w:rsid w:val="00064A89"/>
    <w:rsid w:val="000651FF"/>
    <w:rsid w:val="000654AB"/>
    <w:rsid w:val="00065B89"/>
    <w:rsid w:val="00075BFE"/>
    <w:rsid w:val="000819E4"/>
    <w:rsid w:val="00081A81"/>
    <w:rsid w:val="000913F8"/>
    <w:rsid w:val="00094C4A"/>
    <w:rsid w:val="000A2F44"/>
    <w:rsid w:val="000A329D"/>
    <w:rsid w:val="000A6BA9"/>
    <w:rsid w:val="000A6BB7"/>
    <w:rsid w:val="000B440B"/>
    <w:rsid w:val="000B5DF2"/>
    <w:rsid w:val="000B6960"/>
    <w:rsid w:val="000C1318"/>
    <w:rsid w:val="000C29AC"/>
    <w:rsid w:val="000C30D8"/>
    <w:rsid w:val="000C673A"/>
    <w:rsid w:val="000D04AA"/>
    <w:rsid w:val="000D27DD"/>
    <w:rsid w:val="000D3304"/>
    <w:rsid w:val="000D5C9B"/>
    <w:rsid w:val="000D7BC7"/>
    <w:rsid w:val="000E5287"/>
    <w:rsid w:val="000F4EE3"/>
    <w:rsid w:val="000F5D36"/>
    <w:rsid w:val="000F6745"/>
    <w:rsid w:val="000F7194"/>
    <w:rsid w:val="001004CE"/>
    <w:rsid w:val="00101187"/>
    <w:rsid w:val="00101811"/>
    <w:rsid w:val="00101D84"/>
    <w:rsid w:val="00102D99"/>
    <w:rsid w:val="0010615B"/>
    <w:rsid w:val="0010752F"/>
    <w:rsid w:val="00107870"/>
    <w:rsid w:val="001103CB"/>
    <w:rsid w:val="00110FDA"/>
    <w:rsid w:val="00112347"/>
    <w:rsid w:val="001130C0"/>
    <w:rsid w:val="001138E7"/>
    <w:rsid w:val="00120B2C"/>
    <w:rsid w:val="00121434"/>
    <w:rsid w:val="00121476"/>
    <w:rsid w:val="00124407"/>
    <w:rsid w:val="00126EF4"/>
    <w:rsid w:val="00127444"/>
    <w:rsid w:val="001303E3"/>
    <w:rsid w:val="00131A02"/>
    <w:rsid w:val="00132EAE"/>
    <w:rsid w:val="001338F2"/>
    <w:rsid w:val="00140C34"/>
    <w:rsid w:val="00141728"/>
    <w:rsid w:val="00142E2D"/>
    <w:rsid w:val="00146500"/>
    <w:rsid w:val="001508B2"/>
    <w:rsid w:val="0015207B"/>
    <w:rsid w:val="001601F6"/>
    <w:rsid w:val="001602EB"/>
    <w:rsid w:val="001632A8"/>
    <w:rsid w:val="00174895"/>
    <w:rsid w:val="00175C65"/>
    <w:rsid w:val="00176BCE"/>
    <w:rsid w:val="00186303"/>
    <w:rsid w:val="00187134"/>
    <w:rsid w:val="00191173"/>
    <w:rsid w:val="00192416"/>
    <w:rsid w:val="0019512F"/>
    <w:rsid w:val="001A19AB"/>
    <w:rsid w:val="001A5A6E"/>
    <w:rsid w:val="001B0BE9"/>
    <w:rsid w:val="001B3A03"/>
    <w:rsid w:val="001B662D"/>
    <w:rsid w:val="001B716C"/>
    <w:rsid w:val="001C4942"/>
    <w:rsid w:val="001C495F"/>
    <w:rsid w:val="001C70B3"/>
    <w:rsid w:val="001D122C"/>
    <w:rsid w:val="001D19B5"/>
    <w:rsid w:val="001D2F2B"/>
    <w:rsid w:val="001D5BBA"/>
    <w:rsid w:val="001E6505"/>
    <w:rsid w:val="001F1ACE"/>
    <w:rsid w:val="001F6767"/>
    <w:rsid w:val="002052C7"/>
    <w:rsid w:val="00205794"/>
    <w:rsid w:val="00206300"/>
    <w:rsid w:val="00215D22"/>
    <w:rsid w:val="002170F4"/>
    <w:rsid w:val="00217447"/>
    <w:rsid w:val="0022198B"/>
    <w:rsid w:val="00222646"/>
    <w:rsid w:val="00223976"/>
    <w:rsid w:val="00224D7B"/>
    <w:rsid w:val="002250FF"/>
    <w:rsid w:val="00226DAA"/>
    <w:rsid w:val="00227C5D"/>
    <w:rsid w:val="00236601"/>
    <w:rsid w:val="00246B4D"/>
    <w:rsid w:val="00247D7A"/>
    <w:rsid w:val="00251870"/>
    <w:rsid w:val="0026113A"/>
    <w:rsid w:val="00261DDB"/>
    <w:rsid w:val="002626C9"/>
    <w:rsid w:val="002636CA"/>
    <w:rsid w:val="00263949"/>
    <w:rsid w:val="00265860"/>
    <w:rsid w:val="00267A80"/>
    <w:rsid w:val="00270B82"/>
    <w:rsid w:val="002725A0"/>
    <w:rsid w:val="00272718"/>
    <w:rsid w:val="002732C6"/>
    <w:rsid w:val="00281C1A"/>
    <w:rsid w:val="0028212D"/>
    <w:rsid w:val="00282D26"/>
    <w:rsid w:val="00283547"/>
    <w:rsid w:val="0028631C"/>
    <w:rsid w:val="0029156F"/>
    <w:rsid w:val="00291D98"/>
    <w:rsid w:val="00296860"/>
    <w:rsid w:val="002A370E"/>
    <w:rsid w:val="002A3D0D"/>
    <w:rsid w:val="002A5FA5"/>
    <w:rsid w:val="002B13BF"/>
    <w:rsid w:val="002B1DE3"/>
    <w:rsid w:val="002B3390"/>
    <w:rsid w:val="002B3742"/>
    <w:rsid w:val="002B58F1"/>
    <w:rsid w:val="002B7E8B"/>
    <w:rsid w:val="002B7E9C"/>
    <w:rsid w:val="002C2635"/>
    <w:rsid w:val="002C4867"/>
    <w:rsid w:val="002C7F9C"/>
    <w:rsid w:val="002D2A75"/>
    <w:rsid w:val="002D3A8F"/>
    <w:rsid w:val="002D47A7"/>
    <w:rsid w:val="002E24E0"/>
    <w:rsid w:val="002E2CBF"/>
    <w:rsid w:val="002E4D3A"/>
    <w:rsid w:val="002E7098"/>
    <w:rsid w:val="002E77B0"/>
    <w:rsid w:val="002F3889"/>
    <w:rsid w:val="002F414F"/>
    <w:rsid w:val="002F5796"/>
    <w:rsid w:val="002F5BA5"/>
    <w:rsid w:val="00303FF2"/>
    <w:rsid w:val="0030495E"/>
    <w:rsid w:val="0030506D"/>
    <w:rsid w:val="00306F6E"/>
    <w:rsid w:val="003077D3"/>
    <w:rsid w:val="00307F00"/>
    <w:rsid w:val="00310623"/>
    <w:rsid w:val="00312D41"/>
    <w:rsid w:val="00314AFF"/>
    <w:rsid w:val="003170D7"/>
    <w:rsid w:val="003243C9"/>
    <w:rsid w:val="00325F15"/>
    <w:rsid w:val="00326561"/>
    <w:rsid w:val="00327C75"/>
    <w:rsid w:val="00330DB2"/>
    <w:rsid w:val="00331F1A"/>
    <w:rsid w:val="0033320E"/>
    <w:rsid w:val="0034135B"/>
    <w:rsid w:val="00346549"/>
    <w:rsid w:val="003531FE"/>
    <w:rsid w:val="00355BA9"/>
    <w:rsid w:val="0036169C"/>
    <w:rsid w:val="0036347A"/>
    <w:rsid w:val="003642BD"/>
    <w:rsid w:val="003657BE"/>
    <w:rsid w:val="003778F8"/>
    <w:rsid w:val="0038067A"/>
    <w:rsid w:val="00383F0C"/>
    <w:rsid w:val="00384391"/>
    <w:rsid w:val="00384711"/>
    <w:rsid w:val="0038552A"/>
    <w:rsid w:val="00390348"/>
    <w:rsid w:val="003A2E40"/>
    <w:rsid w:val="003A3C56"/>
    <w:rsid w:val="003A4EFC"/>
    <w:rsid w:val="003A4F94"/>
    <w:rsid w:val="003B09EA"/>
    <w:rsid w:val="003B567C"/>
    <w:rsid w:val="003B5973"/>
    <w:rsid w:val="003C2C4E"/>
    <w:rsid w:val="003C6C47"/>
    <w:rsid w:val="003C774A"/>
    <w:rsid w:val="003C7A02"/>
    <w:rsid w:val="003D00EC"/>
    <w:rsid w:val="003E231A"/>
    <w:rsid w:val="003E7E10"/>
    <w:rsid w:val="003F33EA"/>
    <w:rsid w:val="003F47E4"/>
    <w:rsid w:val="003F6265"/>
    <w:rsid w:val="00412827"/>
    <w:rsid w:val="0041389E"/>
    <w:rsid w:val="00417972"/>
    <w:rsid w:val="00417C72"/>
    <w:rsid w:val="004215B5"/>
    <w:rsid w:val="004262B1"/>
    <w:rsid w:val="00434F39"/>
    <w:rsid w:val="00437C18"/>
    <w:rsid w:val="0044134C"/>
    <w:rsid w:val="00442E9F"/>
    <w:rsid w:val="00447762"/>
    <w:rsid w:val="00454B3C"/>
    <w:rsid w:val="004566F0"/>
    <w:rsid w:val="00461114"/>
    <w:rsid w:val="004616F4"/>
    <w:rsid w:val="0046520B"/>
    <w:rsid w:val="0046676F"/>
    <w:rsid w:val="0047166F"/>
    <w:rsid w:val="00471CDD"/>
    <w:rsid w:val="00473B85"/>
    <w:rsid w:val="004747D1"/>
    <w:rsid w:val="00477F2A"/>
    <w:rsid w:val="004814FA"/>
    <w:rsid w:val="004828A9"/>
    <w:rsid w:val="00483E0B"/>
    <w:rsid w:val="00484904"/>
    <w:rsid w:val="004872B9"/>
    <w:rsid w:val="00491046"/>
    <w:rsid w:val="004911CE"/>
    <w:rsid w:val="00492046"/>
    <w:rsid w:val="00496547"/>
    <w:rsid w:val="00496A57"/>
    <w:rsid w:val="00497B69"/>
    <w:rsid w:val="004A2485"/>
    <w:rsid w:val="004A49DA"/>
    <w:rsid w:val="004B24D0"/>
    <w:rsid w:val="004B3844"/>
    <w:rsid w:val="004B64F1"/>
    <w:rsid w:val="004C0CD2"/>
    <w:rsid w:val="004C46B4"/>
    <w:rsid w:val="004D6B7C"/>
    <w:rsid w:val="004E0F3E"/>
    <w:rsid w:val="004E11F1"/>
    <w:rsid w:val="004E25D5"/>
    <w:rsid w:val="004E3D46"/>
    <w:rsid w:val="004F3FFC"/>
    <w:rsid w:val="004F5E13"/>
    <w:rsid w:val="004F67F1"/>
    <w:rsid w:val="00500400"/>
    <w:rsid w:val="0050224B"/>
    <w:rsid w:val="00503591"/>
    <w:rsid w:val="0050400E"/>
    <w:rsid w:val="00504C2A"/>
    <w:rsid w:val="00504DED"/>
    <w:rsid w:val="00505216"/>
    <w:rsid w:val="00506A01"/>
    <w:rsid w:val="00507ECE"/>
    <w:rsid w:val="00510F82"/>
    <w:rsid w:val="005116D3"/>
    <w:rsid w:val="00513F55"/>
    <w:rsid w:val="005142E0"/>
    <w:rsid w:val="00517DFB"/>
    <w:rsid w:val="005218B3"/>
    <w:rsid w:val="00523891"/>
    <w:rsid w:val="00524781"/>
    <w:rsid w:val="00530767"/>
    <w:rsid w:val="00530E09"/>
    <w:rsid w:val="005310BE"/>
    <w:rsid w:val="00533D57"/>
    <w:rsid w:val="00533E2B"/>
    <w:rsid w:val="00537779"/>
    <w:rsid w:val="00544AE8"/>
    <w:rsid w:val="00552987"/>
    <w:rsid w:val="00553BA8"/>
    <w:rsid w:val="00555C9D"/>
    <w:rsid w:val="005631FD"/>
    <w:rsid w:val="00564347"/>
    <w:rsid w:val="00565416"/>
    <w:rsid w:val="00571D7C"/>
    <w:rsid w:val="00573C63"/>
    <w:rsid w:val="00576A4D"/>
    <w:rsid w:val="00581421"/>
    <w:rsid w:val="00583FF9"/>
    <w:rsid w:val="00584A08"/>
    <w:rsid w:val="00585AF2"/>
    <w:rsid w:val="005909B3"/>
    <w:rsid w:val="00591763"/>
    <w:rsid w:val="00592248"/>
    <w:rsid w:val="005929A5"/>
    <w:rsid w:val="0059333A"/>
    <w:rsid w:val="0059418B"/>
    <w:rsid w:val="00594472"/>
    <w:rsid w:val="005A162A"/>
    <w:rsid w:val="005A1FE7"/>
    <w:rsid w:val="005A3098"/>
    <w:rsid w:val="005A31CC"/>
    <w:rsid w:val="005A38F0"/>
    <w:rsid w:val="005A522B"/>
    <w:rsid w:val="005A563B"/>
    <w:rsid w:val="005B1DC3"/>
    <w:rsid w:val="005B213D"/>
    <w:rsid w:val="005B380A"/>
    <w:rsid w:val="005B7D1F"/>
    <w:rsid w:val="005C2821"/>
    <w:rsid w:val="005C3DB9"/>
    <w:rsid w:val="005C3FDC"/>
    <w:rsid w:val="005C51A5"/>
    <w:rsid w:val="005D7B42"/>
    <w:rsid w:val="005E0139"/>
    <w:rsid w:val="005E13E9"/>
    <w:rsid w:val="005E1C05"/>
    <w:rsid w:val="005E37BB"/>
    <w:rsid w:val="005F2473"/>
    <w:rsid w:val="005F3614"/>
    <w:rsid w:val="005F6229"/>
    <w:rsid w:val="00603622"/>
    <w:rsid w:val="006047CF"/>
    <w:rsid w:val="006055B0"/>
    <w:rsid w:val="00607F13"/>
    <w:rsid w:val="00611D06"/>
    <w:rsid w:val="00615F7C"/>
    <w:rsid w:val="00617919"/>
    <w:rsid w:val="0062159B"/>
    <w:rsid w:val="00622828"/>
    <w:rsid w:val="00623D83"/>
    <w:rsid w:val="0062633B"/>
    <w:rsid w:val="006265C3"/>
    <w:rsid w:val="00630299"/>
    <w:rsid w:val="00630E2A"/>
    <w:rsid w:val="00632A4E"/>
    <w:rsid w:val="00633561"/>
    <w:rsid w:val="006344B7"/>
    <w:rsid w:val="006379AC"/>
    <w:rsid w:val="00637B48"/>
    <w:rsid w:val="00640BEB"/>
    <w:rsid w:val="00647BEF"/>
    <w:rsid w:val="00650A45"/>
    <w:rsid w:val="00651B05"/>
    <w:rsid w:val="006526E5"/>
    <w:rsid w:val="00661C1F"/>
    <w:rsid w:val="0066689D"/>
    <w:rsid w:val="0066733C"/>
    <w:rsid w:val="00667A4D"/>
    <w:rsid w:val="006707EF"/>
    <w:rsid w:val="00670DA3"/>
    <w:rsid w:val="006758D3"/>
    <w:rsid w:val="006803E9"/>
    <w:rsid w:val="006848B0"/>
    <w:rsid w:val="00687E00"/>
    <w:rsid w:val="00687EE7"/>
    <w:rsid w:val="00690E6A"/>
    <w:rsid w:val="00691A4E"/>
    <w:rsid w:val="00694D30"/>
    <w:rsid w:val="00694F9A"/>
    <w:rsid w:val="006A4875"/>
    <w:rsid w:val="006A69CB"/>
    <w:rsid w:val="006B461F"/>
    <w:rsid w:val="006B5E6B"/>
    <w:rsid w:val="006C3148"/>
    <w:rsid w:val="006C3AF2"/>
    <w:rsid w:val="006C51AD"/>
    <w:rsid w:val="006C5E53"/>
    <w:rsid w:val="006C67FC"/>
    <w:rsid w:val="006C7112"/>
    <w:rsid w:val="006D07A8"/>
    <w:rsid w:val="006D2E58"/>
    <w:rsid w:val="006E00AF"/>
    <w:rsid w:val="006E1F5B"/>
    <w:rsid w:val="006E2CBE"/>
    <w:rsid w:val="006E4941"/>
    <w:rsid w:val="006E56C2"/>
    <w:rsid w:val="006E7970"/>
    <w:rsid w:val="006F0108"/>
    <w:rsid w:val="006F0A8C"/>
    <w:rsid w:val="00707587"/>
    <w:rsid w:val="0071089E"/>
    <w:rsid w:val="00716A79"/>
    <w:rsid w:val="00716D09"/>
    <w:rsid w:val="0071741E"/>
    <w:rsid w:val="007229BF"/>
    <w:rsid w:val="007240EA"/>
    <w:rsid w:val="007262C7"/>
    <w:rsid w:val="0073084B"/>
    <w:rsid w:val="007317AC"/>
    <w:rsid w:val="0073621B"/>
    <w:rsid w:val="00737652"/>
    <w:rsid w:val="00737990"/>
    <w:rsid w:val="007420A0"/>
    <w:rsid w:val="0074268D"/>
    <w:rsid w:val="00745CBE"/>
    <w:rsid w:val="0074703A"/>
    <w:rsid w:val="0075038C"/>
    <w:rsid w:val="00754BC0"/>
    <w:rsid w:val="00756A8A"/>
    <w:rsid w:val="00756BB4"/>
    <w:rsid w:val="00756F23"/>
    <w:rsid w:val="00764E8D"/>
    <w:rsid w:val="00765234"/>
    <w:rsid w:val="00767976"/>
    <w:rsid w:val="00770D7F"/>
    <w:rsid w:val="00771C13"/>
    <w:rsid w:val="00773A0C"/>
    <w:rsid w:val="00775097"/>
    <w:rsid w:val="00777318"/>
    <w:rsid w:val="00777927"/>
    <w:rsid w:val="00780364"/>
    <w:rsid w:val="007820C8"/>
    <w:rsid w:val="00782D66"/>
    <w:rsid w:val="0078453A"/>
    <w:rsid w:val="0078519F"/>
    <w:rsid w:val="00790B81"/>
    <w:rsid w:val="0079118B"/>
    <w:rsid w:val="007913E7"/>
    <w:rsid w:val="007A1779"/>
    <w:rsid w:val="007A1F9C"/>
    <w:rsid w:val="007A1FED"/>
    <w:rsid w:val="007A3994"/>
    <w:rsid w:val="007A53AB"/>
    <w:rsid w:val="007B06D1"/>
    <w:rsid w:val="007B157D"/>
    <w:rsid w:val="007B2DBC"/>
    <w:rsid w:val="007B42A1"/>
    <w:rsid w:val="007B45ED"/>
    <w:rsid w:val="007C3039"/>
    <w:rsid w:val="007D3B0E"/>
    <w:rsid w:val="007D68FA"/>
    <w:rsid w:val="007E1D13"/>
    <w:rsid w:val="007E4D34"/>
    <w:rsid w:val="007E6C92"/>
    <w:rsid w:val="007F1692"/>
    <w:rsid w:val="007F2C7A"/>
    <w:rsid w:val="007F435A"/>
    <w:rsid w:val="00800523"/>
    <w:rsid w:val="008021F2"/>
    <w:rsid w:val="0080420D"/>
    <w:rsid w:val="00804EF3"/>
    <w:rsid w:val="00806E67"/>
    <w:rsid w:val="0081000C"/>
    <w:rsid w:val="008112F2"/>
    <w:rsid w:val="00811F53"/>
    <w:rsid w:val="00813435"/>
    <w:rsid w:val="00816006"/>
    <w:rsid w:val="008167BA"/>
    <w:rsid w:val="008225AF"/>
    <w:rsid w:val="00827125"/>
    <w:rsid w:val="008275C1"/>
    <w:rsid w:val="00830810"/>
    <w:rsid w:val="008308C6"/>
    <w:rsid w:val="00830EC3"/>
    <w:rsid w:val="00832119"/>
    <w:rsid w:val="00834421"/>
    <w:rsid w:val="008412BA"/>
    <w:rsid w:val="00853AB7"/>
    <w:rsid w:val="00854925"/>
    <w:rsid w:val="00855880"/>
    <w:rsid w:val="00855BB9"/>
    <w:rsid w:val="008560C7"/>
    <w:rsid w:val="008567E2"/>
    <w:rsid w:val="0086057A"/>
    <w:rsid w:val="008701F6"/>
    <w:rsid w:val="00873330"/>
    <w:rsid w:val="0087472D"/>
    <w:rsid w:val="00875056"/>
    <w:rsid w:val="00875C85"/>
    <w:rsid w:val="00884BF8"/>
    <w:rsid w:val="008A047A"/>
    <w:rsid w:val="008A462C"/>
    <w:rsid w:val="008A740E"/>
    <w:rsid w:val="008B1579"/>
    <w:rsid w:val="008B4898"/>
    <w:rsid w:val="008B6523"/>
    <w:rsid w:val="008C477A"/>
    <w:rsid w:val="008C7029"/>
    <w:rsid w:val="008D1D16"/>
    <w:rsid w:val="008D7C0C"/>
    <w:rsid w:val="008E15AB"/>
    <w:rsid w:val="008F4A00"/>
    <w:rsid w:val="008F5A19"/>
    <w:rsid w:val="008F7CA1"/>
    <w:rsid w:val="00902878"/>
    <w:rsid w:val="00904649"/>
    <w:rsid w:val="00904BE3"/>
    <w:rsid w:val="009104E4"/>
    <w:rsid w:val="00910AAA"/>
    <w:rsid w:val="00911205"/>
    <w:rsid w:val="0091150E"/>
    <w:rsid w:val="00911815"/>
    <w:rsid w:val="00913FCB"/>
    <w:rsid w:val="009142F8"/>
    <w:rsid w:val="00921B9A"/>
    <w:rsid w:val="0092721F"/>
    <w:rsid w:val="00927839"/>
    <w:rsid w:val="009352C2"/>
    <w:rsid w:val="00935C08"/>
    <w:rsid w:val="00936615"/>
    <w:rsid w:val="0093665F"/>
    <w:rsid w:val="00937036"/>
    <w:rsid w:val="00937349"/>
    <w:rsid w:val="00943D08"/>
    <w:rsid w:val="0095385A"/>
    <w:rsid w:val="00954745"/>
    <w:rsid w:val="00956462"/>
    <w:rsid w:val="00960402"/>
    <w:rsid w:val="009605C5"/>
    <w:rsid w:val="00963D31"/>
    <w:rsid w:val="00966E3D"/>
    <w:rsid w:val="00970379"/>
    <w:rsid w:val="0097192A"/>
    <w:rsid w:val="00971FAA"/>
    <w:rsid w:val="009724F7"/>
    <w:rsid w:val="00972850"/>
    <w:rsid w:val="00972D88"/>
    <w:rsid w:val="00973E01"/>
    <w:rsid w:val="00981A4A"/>
    <w:rsid w:val="00984367"/>
    <w:rsid w:val="00984652"/>
    <w:rsid w:val="00984A06"/>
    <w:rsid w:val="0099016A"/>
    <w:rsid w:val="00993B01"/>
    <w:rsid w:val="00994661"/>
    <w:rsid w:val="009A1796"/>
    <w:rsid w:val="009A3592"/>
    <w:rsid w:val="009A65DC"/>
    <w:rsid w:val="009A7EFF"/>
    <w:rsid w:val="009B1FBC"/>
    <w:rsid w:val="009B256C"/>
    <w:rsid w:val="009C0F2A"/>
    <w:rsid w:val="009C41B9"/>
    <w:rsid w:val="009C4A26"/>
    <w:rsid w:val="009C4B28"/>
    <w:rsid w:val="009C69FA"/>
    <w:rsid w:val="009C73D0"/>
    <w:rsid w:val="009D0F3A"/>
    <w:rsid w:val="009E0EE0"/>
    <w:rsid w:val="009E167F"/>
    <w:rsid w:val="009E174D"/>
    <w:rsid w:val="009E1E77"/>
    <w:rsid w:val="009E400B"/>
    <w:rsid w:val="009E4BE3"/>
    <w:rsid w:val="009E6AA9"/>
    <w:rsid w:val="009E7248"/>
    <w:rsid w:val="009F5C99"/>
    <w:rsid w:val="009F7314"/>
    <w:rsid w:val="009F73DD"/>
    <w:rsid w:val="009F767B"/>
    <w:rsid w:val="00A00A5A"/>
    <w:rsid w:val="00A01C98"/>
    <w:rsid w:val="00A02117"/>
    <w:rsid w:val="00A022F0"/>
    <w:rsid w:val="00A026D5"/>
    <w:rsid w:val="00A04756"/>
    <w:rsid w:val="00A05EFE"/>
    <w:rsid w:val="00A07539"/>
    <w:rsid w:val="00A2094E"/>
    <w:rsid w:val="00A32F8E"/>
    <w:rsid w:val="00A424E7"/>
    <w:rsid w:val="00A43305"/>
    <w:rsid w:val="00A441AB"/>
    <w:rsid w:val="00A451EA"/>
    <w:rsid w:val="00A517DB"/>
    <w:rsid w:val="00A53439"/>
    <w:rsid w:val="00A56D1F"/>
    <w:rsid w:val="00A57B48"/>
    <w:rsid w:val="00A6489F"/>
    <w:rsid w:val="00A70CA7"/>
    <w:rsid w:val="00A772FB"/>
    <w:rsid w:val="00A8347F"/>
    <w:rsid w:val="00A93CC9"/>
    <w:rsid w:val="00A93D56"/>
    <w:rsid w:val="00A95F1D"/>
    <w:rsid w:val="00AA5784"/>
    <w:rsid w:val="00AA59EF"/>
    <w:rsid w:val="00AB193E"/>
    <w:rsid w:val="00AB5B34"/>
    <w:rsid w:val="00AB7D4B"/>
    <w:rsid w:val="00AC0546"/>
    <w:rsid w:val="00AC1B3D"/>
    <w:rsid w:val="00AC1BA6"/>
    <w:rsid w:val="00AC284C"/>
    <w:rsid w:val="00AC2CD7"/>
    <w:rsid w:val="00AC309F"/>
    <w:rsid w:val="00AC34E9"/>
    <w:rsid w:val="00AC3A66"/>
    <w:rsid w:val="00AC5A63"/>
    <w:rsid w:val="00AD002E"/>
    <w:rsid w:val="00AD0748"/>
    <w:rsid w:val="00AD2450"/>
    <w:rsid w:val="00AD3D0E"/>
    <w:rsid w:val="00AE58B2"/>
    <w:rsid w:val="00AE7B95"/>
    <w:rsid w:val="00AF090D"/>
    <w:rsid w:val="00AF4B93"/>
    <w:rsid w:val="00AF5CCE"/>
    <w:rsid w:val="00B006B5"/>
    <w:rsid w:val="00B00808"/>
    <w:rsid w:val="00B03440"/>
    <w:rsid w:val="00B05927"/>
    <w:rsid w:val="00B175FE"/>
    <w:rsid w:val="00B22F4B"/>
    <w:rsid w:val="00B244B8"/>
    <w:rsid w:val="00B27B8E"/>
    <w:rsid w:val="00B318DD"/>
    <w:rsid w:val="00B33B6B"/>
    <w:rsid w:val="00B3574E"/>
    <w:rsid w:val="00B37C45"/>
    <w:rsid w:val="00B403A0"/>
    <w:rsid w:val="00B40939"/>
    <w:rsid w:val="00B434C0"/>
    <w:rsid w:val="00B44735"/>
    <w:rsid w:val="00B45699"/>
    <w:rsid w:val="00B53DFB"/>
    <w:rsid w:val="00B54ABB"/>
    <w:rsid w:val="00B62F76"/>
    <w:rsid w:val="00B715AB"/>
    <w:rsid w:val="00B804B7"/>
    <w:rsid w:val="00B80980"/>
    <w:rsid w:val="00B812ED"/>
    <w:rsid w:val="00B907E2"/>
    <w:rsid w:val="00B9152C"/>
    <w:rsid w:val="00B923DC"/>
    <w:rsid w:val="00BA450C"/>
    <w:rsid w:val="00BA5F75"/>
    <w:rsid w:val="00BA68E4"/>
    <w:rsid w:val="00BB43DD"/>
    <w:rsid w:val="00BB58E7"/>
    <w:rsid w:val="00BB6E8C"/>
    <w:rsid w:val="00BB7AC8"/>
    <w:rsid w:val="00BC15F2"/>
    <w:rsid w:val="00BC32CF"/>
    <w:rsid w:val="00BC43EA"/>
    <w:rsid w:val="00BC5987"/>
    <w:rsid w:val="00BC64B5"/>
    <w:rsid w:val="00BC70C4"/>
    <w:rsid w:val="00BD1DCC"/>
    <w:rsid w:val="00BD36BF"/>
    <w:rsid w:val="00BE23FF"/>
    <w:rsid w:val="00BE2729"/>
    <w:rsid w:val="00BF05E8"/>
    <w:rsid w:val="00BF10CF"/>
    <w:rsid w:val="00BF6320"/>
    <w:rsid w:val="00BF68C8"/>
    <w:rsid w:val="00BF6A8A"/>
    <w:rsid w:val="00C02703"/>
    <w:rsid w:val="00C0547D"/>
    <w:rsid w:val="00C05ADA"/>
    <w:rsid w:val="00C10999"/>
    <w:rsid w:val="00C10EDF"/>
    <w:rsid w:val="00C11817"/>
    <w:rsid w:val="00C125B0"/>
    <w:rsid w:val="00C140CC"/>
    <w:rsid w:val="00C15BF2"/>
    <w:rsid w:val="00C16D9E"/>
    <w:rsid w:val="00C17F4C"/>
    <w:rsid w:val="00C21B5D"/>
    <w:rsid w:val="00C2362B"/>
    <w:rsid w:val="00C27482"/>
    <w:rsid w:val="00C32B18"/>
    <w:rsid w:val="00C424A2"/>
    <w:rsid w:val="00C45CCF"/>
    <w:rsid w:val="00C52169"/>
    <w:rsid w:val="00C53896"/>
    <w:rsid w:val="00C55FE4"/>
    <w:rsid w:val="00C607D8"/>
    <w:rsid w:val="00C729D2"/>
    <w:rsid w:val="00C7666E"/>
    <w:rsid w:val="00C8112D"/>
    <w:rsid w:val="00C839A8"/>
    <w:rsid w:val="00C92570"/>
    <w:rsid w:val="00CA003A"/>
    <w:rsid w:val="00CA1B8D"/>
    <w:rsid w:val="00CA2A8B"/>
    <w:rsid w:val="00CA3443"/>
    <w:rsid w:val="00CA5BE3"/>
    <w:rsid w:val="00CB3192"/>
    <w:rsid w:val="00CB34AA"/>
    <w:rsid w:val="00CB61E0"/>
    <w:rsid w:val="00CC3112"/>
    <w:rsid w:val="00CC67BC"/>
    <w:rsid w:val="00CC7CC6"/>
    <w:rsid w:val="00CD0451"/>
    <w:rsid w:val="00CD4162"/>
    <w:rsid w:val="00CD49D8"/>
    <w:rsid w:val="00CD78B8"/>
    <w:rsid w:val="00CE2CFD"/>
    <w:rsid w:val="00CE4101"/>
    <w:rsid w:val="00CE6250"/>
    <w:rsid w:val="00CE6AEE"/>
    <w:rsid w:val="00CF07C6"/>
    <w:rsid w:val="00CF29A5"/>
    <w:rsid w:val="00D02456"/>
    <w:rsid w:val="00D04BEA"/>
    <w:rsid w:val="00D0714F"/>
    <w:rsid w:val="00D12D38"/>
    <w:rsid w:val="00D1419A"/>
    <w:rsid w:val="00D171D0"/>
    <w:rsid w:val="00D2031F"/>
    <w:rsid w:val="00D2040A"/>
    <w:rsid w:val="00D2129C"/>
    <w:rsid w:val="00D21D38"/>
    <w:rsid w:val="00D22473"/>
    <w:rsid w:val="00D24D90"/>
    <w:rsid w:val="00D33DB3"/>
    <w:rsid w:val="00D353BC"/>
    <w:rsid w:val="00D357ED"/>
    <w:rsid w:val="00D35941"/>
    <w:rsid w:val="00D4284B"/>
    <w:rsid w:val="00D44966"/>
    <w:rsid w:val="00D4556C"/>
    <w:rsid w:val="00D50A4C"/>
    <w:rsid w:val="00D50CE4"/>
    <w:rsid w:val="00D51519"/>
    <w:rsid w:val="00D51FB4"/>
    <w:rsid w:val="00D53646"/>
    <w:rsid w:val="00D561ED"/>
    <w:rsid w:val="00D6235E"/>
    <w:rsid w:val="00D6535C"/>
    <w:rsid w:val="00D675E8"/>
    <w:rsid w:val="00D72FCD"/>
    <w:rsid w:val="00D75EB9"/>
    <w:rsid w:val="00D7696F"/>
    <w:rsid w:val="00D839BF"/>
    <w:rsid w:val="00D870F8"/>
    <w:rsid w:val="00D91065"/>
    <w:rsid w:val="00D9337A"/>
    <w:rsid w:val="00D943FC"/>
    <w:rsid w:val="00D95288"/>
    <w:rsid w:val="00D97CE8"/>
    <w:rsid w:val="00DA59F6"/>
    <w:rsid w:val="00DB19F6"/>
    <w:rsid w:val="00DB236B"/>
    <w:rsid w:val="00DB41D5"/>
    <w:rsid w:val="00DB427D"/>
    <w:rsid w:val="00DB44B4"/>
    <w:rsid w:val="00DB5FC9"/>
    <w:rsid w:val="00DB7937"/>
    <w:rsid w:val="00DC3B12"/>
    <w:rsid w:val="00DD291F"/>
    <w:rsid w:val="00DD3845"/>
    <w:rsid w:val="00DD4114"/>
    <w:rsid w:val="00DD6BE0"/>
    <w:rsid w:val="00DE0E7B"/>
    <w:rsid w:val="00DF6860"/>
    <w:rsid w:val="00DF76C7"/>
    <w:rsid w:val="00DF782D"/>
    <w:rsid w:val="00E01273"/>
    <w:rsid w:val="00E075CA"/>
    <w:rsid w:val="00E07AB6"/>
    <w:rsid w:val="00E07D46"/>
    <w:rsid w:val="00E1156C"/>
    <w:rsid w:val="00E12E83"/>
    <w:rsid w:val="00E13423"/>
    <w:rsid w:val="00E13AA8"/>
    <w:rsid w:val="00E14DD9"/>
    <w:rsid w:val="00E15C20"/>
    <w:rsid w:val="00E22005"/>
    <w:rsid w:val="00E306C3"/>
    <w:rsid w:val="00E30E20"/>
    <w:rsid w:val="00E326CE"/>
    <w:rsid w:val="00E33DF3"/>
    <w:rsid w:val="00E34239"/>
    <w:rsid w:val="00E37FCD"/>
    <w:rsid w:val="00E4002A"/>
    <w:rsid w:val="00E452DD"/>
    <w:rsid w:val="00E45346"/>
    <w:rsid w:val="00E45E8E"/>
    <w:rsid w:val="00E46829"/>
    <w:rsid w:val="00E5230C"/>
    <w:rsid w:val="00E52AFB"/>
    <w:rsid w:val="00E53D38"/>
    <w:rsid w:val="00E54456"/>
    <w:rsid w:val="00E5479A"/>
    <w:rsid w:val="00E552E8"/>
    <w:rsid w:val="00E55440"/>
    <w:rsid w:val="00E63007"/>
    <w:rsid w:val="00E6427B"/>
    <w:rsid w:val="00E6480C"/>
    <w:rsid w:val="00E706A1"/>
    <w:rsid w:val="00E712F6"/>
    <w:rsid w:val="00E71712"/>
    <w:rsid w:val="00E72CC1"/>
    <w:rsid w:val="00E7357E"/>
    <w:rsid w:val="00E73DE3"/>
    <w:rsid w:val="00E805B1"/>
    <w:rsid w:val="00E837B0"/>
    <w:rsid w:val="00E858AC"/>
    <w:rsid w:val="00E87870"/>
    <w:rsid w:val="00E87DF9"/>
    <w:rsid w:val="00E90958"/>
    <w:rsid w:val="00E916E4"/>
    <w:rsid w:val="00E91D70"/>
    <w:rsid w:val="00E923EA"/>
    <w:rsid w:val="00E9256F"/>
    <w:rsid w:val="00E9313E"/>
    <w:rsid w:val="00E94553"/>
    <w:rsid w:val="00E960D9"/>
    <w:rsid w:val="00EA0B8E"/>
    <w:rsid w:val="00EA13FB"/>
    <w:rsid w:val="00EA634D"/>
    <w:rsid w:val="00EA7269"/>
    <w:rsid w:val="00EB0725"/>
    <w:rsid w:val="00EB1F01"/>
    <w:rsid w:val="00EB3DD1"/>
    <w:rsid w:val="00EB3FBC"/>
    <w:rsid w:val="00EB6DAC"/>
    <w:rsid w:val="00EB7E0D"/>
    <w:rsid w:val="00EC43A2"/>
    <w:rsid w:val="00EC725C"/>
    <w:rsid w:val="00ED0609"/>
    <w:rsid w:val="00ED0895"/>
    <w:rsid w:val="00EE1143"/>
    <w:rsid w:val="00EE4963"/>
    <w:rsid w:val="00EE4AD6"/>
    <w:rsid w:val="00EE548D"/>
    <w:rsid w:val="00EE5D64"/>
    <w:rsid w:val="00EE61A1"/>
    <w:rsid w:val="00EF2372"/>
    <w:rsid w:val="00EF3E4F"/>
    <w:rsid w:val="00EF5C69"/>
    <w:rsid w:val="00EF71A5"/>
    <w:rsid w:val="00F01248"/>
    <w:rsid w:val="00F0131D"/>
    <w:rsid w:val="00F1322A"/>
    <w:rsid w:val="00F138C1"/>
    <w:rsid w:val="00F170C6"/>
    <w:rsid w:val="00F176D5"/>
    <w:rsid w:val="00F34574"/>
    <w:rsid w:val="00F368F8"/>
    <w:rsid w:val="00F4150D"/>
    <w:rsid w:val="00F43E0C"/>
    <w:rsid w:val="00F44046"/>
    <w:rsid w:val="00F44F74"/>
    <w:rsid w:val="00F47455"/>
    <w:rsid w:val="00F47983"/>
    <w:rsid w:val="00F5726F"/>
    <w:rsid w:val="00F70DFC"/>
    <w:rsid w:val="00F71913"/>
    <w:rsid w:val="00F72043"/>
    <w:rsid w:val="00F77EC2"/>
    <w:rsid w:val="00F81203"/>
    <w:rsid w:val="00F822DA"/>
    <w:rsid w:val="00F82850"/>
    <w:rsid w:val="00F84113"/>
    <w:rsid w:val="00F85CFE"/>
    <w:rsid w:val="00F8687C"/>
    <w:rsid w:val="00F90E61"/>
    <w:rsid w:val="00F926DD"/>
    <w:rsid w:val="00F9307A"/>
    <w:rsid w:val="00F95A23"/>
    <w:rsid w:val="00F970B7"/>
    <w:rsid w:val="00FA0EA8"/>
    <w:rsid w:val="00FA1E1C"/>
    <w:rsid w:val="00FA40CD"/>
    <w:rsid w:val="00FB3DB9"/>
    <w:rsid w:val="00FB45AD"/>
    <w:rsid w:val="00FB4E3B"/>
    <w:rsid w:val="00FB751A"/>
    <w:rsid w:val="00FC1B95"/>
    <w:rsid w:val="00FC4C45"/>
    <w:rsid w:val="00FC5E84"/>
    <w:rsid w:val="00FD046B"/>
    <w:rsid w:val="00FD0B59"/>
    <w:rsid w:val="00FD6734"/>
    <w:rsid w:val="00FE0D3F"/>
    <w:rsid w:val="00FE1DC4"/>
    <w:rsid w:val="00FE37AC"/>
    <w:rsid w:val="00FE7BCB"/>
    <w:rsid w:val="00FE7F5F"/>
    <w:rsid w:val="00FF1C3E"/>
    <w:rsid w:val="00FF337E"/>
    <w:rsid w:val="00FF35B7"/>
    <w:rsid w:val="00FF3A9F"/>
    <w:rsid w:val="00FF4150"/>
    <w:rsid w:val="00FF59EE"/>
    <w:rsid w:val="00FF6389"/>
    <w:rsid w:val="00FF6C77"/>
    <w:rsid w:val="0104732E"/>
    <w:rsid w:val="01466651"/>
    <w:rsid w:val="01554819"/>
    <w:rsid w:val="0178667F"/>
    <w:rsid w:val="018D0469"/>
    <w:rsid w:val="01A84D6E"/>
    <w:rsid w:val="01B70A0F"/>
    <w:rsid w:val="01B77D60"/>
    <w:rsid w:val="01BF3F10"/>
    <w:rsid w:val="01C00E34"/>
    <w:rsid w:val="01C37F5C"/>
    <w:rsid w:val="01C5101F"/>
    <w:rsid w:val="01D27A52"/>
    <w:rsid w:val="01E74EE7"/>
    <w:rsid w:val="01F234B1"/>
    <w:rsid w:val="022103A6"/>
    <w:rsid w:val="0236405A"/>
    <w:rsid w:val="02453180"/>
    <w:rsid w:val="028D73D7"/>
    <w:rsid w:val="02B11DE2"/>
    <w:rsid w:val="02B45C4C"/>
    <w:rsid w:val="02DC0246"/>
    <w:rsid w:val="02E77D50"/>
    <w:rsid w:val="03324158"/>
    <w:rsid w:val="034C3F96"/>
    <w:rsid w:val="0359022A"/>
    <w:rsid w:val="035A6E5E"/>
    <w:rsid w:val="035C4C72"/>
    <w:rsid w:val="036943B8"/>
    <w:rsid w:val="0384228D"/>
    <w:rsid w:val="03AF2889"/>
    <w:rsid w:val="03AF5DCB"/>
    <w:rsid w:val="03C01543"/>
    <w:rsid w:val="03D60B1B"/>
    <w:rsid w:val="0405443F"/>
    <w:rsid w:val="040B2AFB"/>
    <w:rsid w:val="04197008"/>
    <w:rsid w:val="042B301A"/>
    <w:rsid w:val="04502506"/>
    <w:rsid w:val="04606619"/>
    <w:rsid w:val="04673422"/>
    <w:rsid w:val="04687326"/>
    <w:rsid w:val="047156AC"/>
    <w:rsid w:val="04830F23"/>
    <w:rsid w:val="049C79B9"/>
    <w:rsid w:val="04A00C00"/>
    <w:rsid w:val="04A37656"/>
    <w:rsid w:val="04A44FAC"/>
    <w:rsid w:val="04D30313"/>
    <w:rsid w:val="04DF0921"/>
    <w:rsid w:val="04F04217"/>
    <w:rsid w:val="051E5EEE"/>
    <w:rsid w:val="053549CB"/>
    <w:rsid w:val="053E3187"/>
    <w:rsid w:val="05552AA2"/>
    <w:rsid w:val="055911BB"/>
    <w:rsid w:val="056C56A4"/>
    <w:rsid w:val="056E318E"/>
    <w:rsid w:val="05831EAD"/>
    <w:rsid w:val="05B055EF"/>
    <w:rsid w:val="05DC5187"/>
    <w:rsid w:val="05F9491E"/>
    <w:rsid w:val="062313DC"/>
    <w:rsid w:val="06320CB3"/>
    <w:rsid w:val="06627778"/>
    <w:rsid w:val="067344D4"/>
    <w:rsid w:val="06A15302"/>
    <w:rsid w:val="06B70028"/>
    <w:rsid w:val="06F8619C"/>
    <w:rsid w:val="06FC4576"/>
    <w:rsid w:val="07280198"/>
    <w:rsid w:val="07766FD4"/>
    <w:rsid w:val="07795E44"/>
    <w:rsid w:val="077B3BBA"/>
    <w:rsid w:val="07AC2D2A"/>
    <w:rsid w:val="07C65977"/>
    <w:rsid w:val="080C2AE3"/>
    <w:rsid w:val="081272FE"/>
    <w:rsid w:val="081D756E"/>
    <w:rsid w:val="082C19E6"/>
    <w:rsid w:val="082F0A75"/>
    <w:rsid w:val="08326CD6"/>
    <w:rsid w:val="087D1994"/>
    <w:rsid w:val="08874BCC"/>
    <w:rsid w:val="08A13EED"/>
    <w:rsid w:val="08AC1CB9"/>
    <w:rsid w:val="08AD5AFC"/>
    <w:rsid w:val="08B22FDB"/>
    <w:rsid w:val="09081893"/>
    <w:rsid w:val="090B2E94"/>
    <w:rsid w:val="09525A2D"/>
    <w:rsid w:val="09566FE4"/>
    <w:rsid w:val="09595277"/>
    <w:rsid w:val="09602ED1"/>
    <w:rsid w:val="09B7718C"/>
    <w:rsid w:val="09BA582A"/>
    <w:rsid w:val="09C84A09"/>
    <w:rsid w:val="09C85B66"/>
    <w:rsid w:val="09D5023C"/>
    <w:rsid w:val="09D71E02"/>
    <w:rsid w:val="09E94E08"/>
    <w:rsid w:val="09EC5C9D"/>
    <w:rsid w:val="0A0971BC"/>
    <w:rsid w:val="0A0A6E97"/>
    <w:rsid w:val="0A1E071C"/>
    <w:rsid w:val="0A271392"/>
    <w:rsid w:val="0A425710"/>
    <w:rsid w:val="0A7B6A32"/>
    <w:rsid w:val="0AC462C1"/>
    <w:rsid w:val="0AE96266"/>
    <w:rsid w:val="0AFD761B"/>
    <w:rsid w:val="0B1B7E0C"/>
    <w:rsid w:val="0B305AE3"/>
    <w:rsid w:val="0B547121"/>
    <w:rsid w:val="0B623E42"/>
    <w:rsid w:val="0B872487"/>
    <w:rsid w:val="0B880A98"/>
    <w:rsid w:val="0BAD6A99"/>
    <w:rsid w:val="0BC2353A"/>
    <w:rsid w:val="0BD67E22"/>
    <w:rsid w:val="0BFE79E7"/>
    <w:rsid w:val="0C300ED0"/>
    <w:rsid w:val="0C5C09FD"/>
    <w:rsid w:val="0C695B3E"/>
    <w:rsid w:val="0C6B5E72"/>
    <w:rsid w:val="0C842AE5"/>
    <w:rsid w:val="0CB7429B"/>
    <w:rsid w:val="0D032099"/>
    <w:rsid w:val="0D0B68BB"/>
    <w:rsid w:val="0D0C766F"/>
    <w:rsid w:val="0D224B4F"/>
    <w:rsid w:val="0D896C79"/>
    <w:rsid w:val="0DA96417"/>
    <w:rsid w:val="0DB127BF"/>
    <w:rsid w:val="0DC45636"/>
    <w:rsid w:val="0DD74528"/>
    <w:rsid w:val="0DEE506C"/>
    <w:rsid w:val="0E285362"/>
    <w:rsid w:val="0E366BDF"/>
    <w:rsid w:val="0E433E6C"/>
    <w:rsid w:val="0E472FBB"/>
    <w:rsid w:val="0E842435"/>
    <w:rsid w:val="0E867919"/>
    <w:rsid w:val="0EAC0DD3"/>
    <w:rsid w:val="0EAD2AFA"/>
    <w:rsid w:val="0EBB079A"/>
    <w:rsid w:val="0EF30086"/>
    <w:rsid w:val="0EFE0305"/>
    <w:rsid w:val="0F357836"/>
    <w:rsid w:val="0F3E22DE"/>
    <w:rsid w:val="0F437E2C"/>
    <w:rsid w:val="0F452815"/>
    <w:rsid w:val="0F53773E"/>
    <w:rsid w:val="0F7E5231"/>
    <w:rsid w:val="0FA16AF1"/>
    <w:rsid w:val="0FA243D2"/>
    <w:rsid w:val="0FC55955"/>
    <w:rsid w:val="0FD04DF1"/>
    <w:rsid w:val="0FDC2A93"/>
    <w:rsid w:val="0FEA778D"/>
    <w:rsid w:val="0FF27E52"/>
    <w:rsid w:val="0FF76CF2"/>
    <w:rsid w:val="102536C3"/>
    <w:rsid w:val="10282294"/>
    <w:rsid w:val="10302EE7"/>
    <w:rsid w:val="104A51DF"/>
    <w:rsid w:val="10662114"/>
    <w:rsid w:val="106B1A74"/>
    <w:rsid w:val="1093546D"/>
    <w:rsid w:val="109B2D92"/>
    <w:rsid w:val="10B578DE"/>
    <w:rsid w:val="10BD06BB"/>
    <w:rsid w:val="10D0645B"/>
    <w:rsid w:val="10DD1F5F"/>
    <w:rsid w:val="10F7207B"/>
    <w:rsid w:val="10FA712E"/>
    <w:rsid w:val="11073B93"/>
    <w:rsid w:val="113E1AE3"/>
    <w:rsid w:val="113E2D41"/>
    <w:rsid w:val="118A690A"/>
    <w:rsid w:val="119B4E80"/>
    <w:rsid w:val="11AE7F65"/>
    <w:rsid w:val="1208366F"/>
    <w:rsid w:val="12176F6E"/>
    <w:rsid w:val="121F5C91"/>
    <w:rsid w:val="126622A9"/>
    <w:rsid w:val="12684991"/>
    <w:rsid w:val="128B1799"/>
    <w:rsid w:val="12944AA8"/>
    <w:rsid w:val="12D47E30"/>
    <w:rsid w:val="12F276A6"/>
    <w:rsid w:val="130C0E7B"/>
    <w:rsid w:val="13373D59"/>
    <w:rsid w:val="133E2506"/>
    <w:rsid w:val="136A3D5B"/>
    <w:rsid w:val="137B12A6"/>
    <w:rsid w:val="139144E3"/>
    <w:rsid w:val="13A92BAF"/>
    <w:rsid w:val="13B60009"/>
    <w:rsid w:val="140E6DA5"/>
    <w:rsid w:val="141D4CE4"/>
    <w:rsid w:val="144038B2"/>
    <w:rsid w:val="146741ED"/>
    <w:rsid w:val="14A7350D"/>
    <w:rsid w:val="14AD33C3"/>
    <w:rsid w:val="14DB426E"/>
    <w:rsid w:val="14FA4E59"/>
    <w:rsid w:val="153D23D9"/>
    <w:rsid w:val="16490F5F"/>
    <w:rsid w:val="167D7BE2"/>
    <w:rsid w:val="16874685"/>
    <w:rsid w:val="16907DA4"/>
    <w:rsid w:val="169A3535"/>
    <w:rsid w:val="169C4136"/>
    <w:rsid w:val="169D04FE"/>
    <w:rsid w:val="16AF1F88"/>
    <w:rsid w:val="16C97D34"/>
    <w:rsid w:val="16D14053"/>
    <w:rsid w:val="16FF6C59"/>
    <w:rsid w:val="1708020B"/>
    <w:rsid w:val="17116F7F"/>
    <w:rsid w:val="17177E1D"/>
    <w:rsid w:val="171A2CB3"/>
    <w:rsid w:val="1728524E"/>
    <w:rsid w:val="173141A3"/>
    <w:rsid w:val="175139B2"/>
    <w:rsid w:val="17C76315"/>
    <w:rsid w:val="17E017DE"/>
    <w:rsid w:val="17FC22F7"/>
    <w:rsid w:val="18440745"/>
    <w:rsid w:val="184F4990"/>
    <w:rsid w:val="185B62E8"/>
    <w:rsid w:val="18B9787E"/>
    <w:rsid w:val="18FC7778"/>
    <w:rsid w:val="190152B9"/>
    <w:rsid w:val="19073167"/>
    <w:rsid w:val="190C4A3A"/>
    <w:rsid w:val="190D5908"/>
    <w:rsid w:val="190E6BEA"/>
    <w:rsid w:val="19263C8E"/>
    <w:rsid w:val="194955DD"/>
    <w:rsid w:val="1965037B"/>
    <w:rsid w:val="19BE45D2"/>
    <w:rsid w:val="19BF7F9C"/>
    <w:rsid w:val="19C74CFE"/>
    <w:rsid w:val="1A1D249E"/>
    <w:rsid w:val="1A5678E1"/>
    <w:rsid w:val="1A5C600B"/>
    <w:rsid w:val="1A723986"/>
    <w:rsid w:val="1A7A1124"/>
    <w:rsid w:val="1A8D2CCE"/>
    <w:rsid w:val="1A927267"/>
    <w:rsid w:val="1ACD21A8"/>
    <w:rsid w:val="1B3D7C61"/>
    <w:rsid w:val="1B527F1E"/>
    <w:rsid w:val="1B5B7405"/>
    <w:rsid w:val="1B7B06D2"/>
    <w:rsid w:val="1B7F04A4"/>
    <w:rsid w:val="1BA87510"/>
    <w:rsid w:val="1BBD3A86"/>
    <w:rsid w:val="1BC83A4F"/>
    <w:rsid w:val="1BCE0B4E"/>
    <w:rsid w:val="1C05707B"/>
    <w:rsid w:val="1C1A5968"/>
    <w:rsid w:val="1C520FAF"/>
    <w:rsid w:val="1C6B1A87"/>
    <w:rsid w:val="1C75569E"/>
    <w:rsid w:val="1C8635AB"/>
    <w:rsid w:val="1C8A241B"/>
    <w:rsid w:val="1CAF345A"/>
    <w:rsid w:val="1CB54D60"/>
    <w:rsid w:val="1CC727D4"/>
    <w:rsid w:val="1CCA6A42"/>
    <w:rsid w:val="1CEE5B69"/>
    <w:rsid w:val="1D0F2DAE"/>
    <w:rsid w:val="1D28178C"/>
    <w:rsid w:val="1D640D3B"/>
    <w:rsid w:val="1D65155F"/>
    <w:rsid w:val="1D8513AB"/>
    <w:rsid w:val="1DA45472"/>
    <w:rsid w:val="1DB50BC6"/>
    <w:rsid w:val="1DB806A0"/>
    <w:rsid w:val="1DF00CBA"/>
    <w:rsid w:val="1DF118AA"/>
    <w:rsid w:val="1E057860"/>
    <w:rsid w:val="1E155943"/>
    <w:rsid w:val="1E180D50"/>
    <w:rsid w:val="1E203EE3"/>
    <w:rsid w:val="1E373D09"/>
    <w:rsid w:val="1E591BF9"/>
    <w:rsid w:val="1E9672D6"/>
    <w:rsid w:val="1EFE343C"/>
    <w:rsid w:val="1F0769F4"/>
    <w:rsid w:val="1F172181"/>
    <w:rsid w:val="1F2A7149"/>
    <w:rsid w:val="1F4A7336"/>
    <w:rsid w:val="1F560639"/>
    <w:rsid w:val="1F7A3091"/>
    <w:rsid w:val="1F840E38"/>
    <w:rsid w:val="1F9A2D8D"/>
    <w:rsid w:val="1F9F768F"/>
    <w:rsid w:val="1FA93810"/>
    <w:rsid w:val="1FD113C7"/>
    <w:rsid w:val="1FE37394"/>
    <w:rsid w:val="1FEF20FC"/>
    <w:rsid w:val="20040492"/>
    <w:rsid w:val="2019679C"/>
    <w:rsid w:val="201E02FC"/>
    <w:rsid w:val="203E1523"/>
    <w:rsid w:val="20BC4B91"/>
    <w:rsid w:val="20C42B9F"/>
    <w:rsid w:val="20D86EE3"/>
    <w:rsid w:val="20DC26BB"/>
    <w:rsid w:val="20F6760F"/>
    <w:rsid w:val="20FE3BA8"/>
    <w:rsid w:val="21077F18"/>
    <w:rsid w:val="21127F5A"/>
    <w:rsid w:val="211F5D80"/>
    <w:rsid w:val="212F1B6C"/>
    <w:rsid w:val="21B71221"/>
    <w:rsid w:val="21B73024"/>
    <w:rsid w:val="21CB230D"/>
    <w:rsid w:val="21D61FFC"/>
    <w:rsid w:val="21E621C6"/>
    <w:rsid w:val="21E87A80"/>
    <w:rsid w:val="2200064C"/>
    <w:rsid w:val="22143A30"/>
    <w:rsid w:val="222E2559"/>
    <w:rsid w:val="223741AB"/>
    <w:rsid w:val="22471231"/>
    <w:rsid w:val="2249670F"/>
    <w:rsid w:val="224D3046"/>
    <w:rsid w:val="22594C66"/>
    <w:rsid w:val="226708B5"/>
    <w:rsid w:val="227515DB"/>
    <w:rsid w:val="22AE57F3"/>
    <w:rsid w:val="22E82727"/>
    <w:rsid w:val="22F11B6D"/>
    <w:rsid w:val="23070427"/>
    <w:rsid w:val="23850588"/>
    <w:rsid w:val="2385687C"/>
    <w:rsid w:val="23861351"/>
    <w:rsid w:val="23AF3E08"/>
    <w:rsid w:val="23B35236"/>
    <w:rsid w:val="23BD0399"/>
    <w:rsid w:val="23E574C1"/>
    <w:rsid w:val="240B1F8B"/>
    <w:rsid w:val="243153CA"/>
    <w:rsid w:val="24361E4D"/>
    <w:rsid w:val="24383D6D"/>
    <w:rsid w:val="24553921"/>
    <w:rsid w:val="24831A6D"/>
    <w:rsid w:val="24A94358"/>
    <w:rsid w:val="24BF3B6A"/>
    <w:rsid w:val="24D62896"/>
    <w:rsid w:val="24E30644"/>
    <w:rsid w:val="24E8597B"/>
    <w:rsid w:val="25024D94"/>
    <w:rsid w:val="25101F84"/>
    <w:rsid w:val="25195979"/>
    <w:rsid w:val="25282A5C"/>
    <w:rsid w:val="252A78C1"/>
    <w:rsid w:val="25490103"/>
    <w:rsid w:val="254A3D9C"/>
    <w:rsid w:val="255A2F7D"/>
    <w:rsid w:val="259A223B"/>
    <w:rsid w:val="259B713D"/>
    <w:rsid w:val="259F00A6"/>
    <w:rsid w:val="25A034FD"/>
    <w:rsid w:val="25E06FEA"/>
    <w:rsid w:val="25EB0019"/>
    <w:rsid w:val="26115289"/>
    <w:rsid w:val="262B18CB"/>
    <w:rsid w:val="26954835"/>
    <w:rsid w:val="26BE70A3"/>
    <w:rsid w:val="26E27DFF"/>
    <w:rsid w:val="270618AE"/>
    <w:rsid w:val="2715437C"/>
    <w:rsid w:val="27347150"/>
    <w:rsid w:val="273D58F7"/>
    <w:rsid w:val="279C051B"/>
    <w:rsid w:val="27C51710"/>
    <w:rsid w:val="27C5186D"/>
    <w:rsid w:val="27EF0883"/>
    <w:rsid w:val="27F46EA3"/>
    <w:rsid w:val="28131E62"/>
    <w:rsid w:val="2838032B"/>
    <w:rsid w:val="283E0FE4"/>
    <w:rsid w:val="2858000B"/>
    <w:rsid w:val="285D276A"/>
    <w:rsid w:val="28633066"/>
    <w:rsid w:val="28B11E5C"/>
    <w:rsid w:val="28C13199"/>
    <w:rsid w:val="28C246E6"/>
    <w:rsid w:val="28D32772"/>
    <w:rsid w:val="28D36E3E"/>
    <w:rsid w:val="28E11DF8"/>
    <w:rsid w:val="28E55F43"/>
    <w:rsid w:val="28F00569"/>
    <w:rsid w:val="29005108"/>
    <w:rsid w:val="294A45C9"/>
    <w:rsid w:val="295C0704"/>
    <w:rsid w:val="29927785"/>
    <w:rsid w:val="29AA11AD"/>
    <w:rsid w:val="29B21E01"/>
    <w:rsid w:val="29BE54FE"/>
    <w:rsid w:val="29C42E74"/>
    <w:rsid w:val="29E51AE3"/>
    <w:rsid w:val="2A0E250D"/>
    <w:rsid w:val="2A0E6197"/>
    <w:rsid w:val="2A2066DF"/>
    <w:rsid w:val="2A345BCD"/>
    <w:rsid w:val="2A472385"/>
    <w:rsid w:val="2A7A574C"/>
    <w:rsid w:val="2AB6327A"/>
    <w:rsid w:val="2AC45CC8"/>
    <w:rsid w:val="2AD930E5"/>
    <w:rsid w:val="2AEA0A51"/>
    <w:rsid w:val="2AF53DD4"/>
    <w:rsid w:val="2B106ABC"/>
    <w:rsid w:val="2B2661B3"/>
    <w:rsid w:val="2B424CAC"/>
    <w:rsid w:val="2B43065A"/>
    <w:rsid w:val="2B4F1772"/>
    <w:rsid w:val="2B7C35EF"/>
    <w:rsid w:val="2BB9570D"/>
    <w:rsid w:val="2BE008C4"/>
    <w:rsid w:val="2BE239E3"/>
    <w:rsid w:val="2C0071B9"/>
    <w:rsid w:val="2C11235E"/>
    <w:rsid w:val="2C115520"/>
    <w:rsid w:val="2C1853F0"/>
    <w:rsid w:val="2C2F5FC6"/>
    <w:rsid w:val="2C4B0914"/>
    <w:rsid w:val="2C796FD9"/>
    <w:rsid w:val="2C8F028B"/>
    <w:rsid w:val="2C9B0C10"/>
    <w:rsid w:val="2C9D34E2"/>
    <w:rsid w:val="2CA010A5"/>
    <w:rsid w:val="2CE5390A"/>
    <w:rsid w:val="2CE62A38"/>
    <w:rsid w:val="2CEE7561"/>
    <w:rsid w:val="2D0A1BF4"/>
    <w:rsid w:val="2D3E5722"/>
    <w:rsid w:val="2D7153FC"/>
    <w:rsid w:val="2D80069D"/>
    <w:rsid w:val="2DB27EB3"/>
    <w:rsid w:val="2DBF02CD"/>
    <w:rsid w:val="2DEF6086"/>
    <w:rsid w:val="2DF0083B"/>
    <w:rsid w:val="2E036EB9"/>
    <w:rsid w:val="2E377BAF"/>
    <w:rsid w:val="2E7707A4"/>
    <w:rsid w:val="2ECE1F1B"/>
    <w:rsid w:val="2EDA3DB2"/>
    <w:rsid w:val="2EF65857"/>
    <w:rsid w:val="2F083569"/>
    <w:rsid w:val="2F0F4591"/>
    <w:rsid w:val="2F555614"/>
    <w:rsid w:val="2F5D505F"/>
    <w:rsid w:val="2F5E3BA3"/>
    <w:rsid w:val="2F614A2C"/>
    <w:rsid w:val="2F636DF5"/>
    <w:rsid w:val="2F6D3A9F"/>
    <w:rsid w:val="2F8B4718"/>
    <w:rsid w:val="2FB16C48"/>
    <w:rsid w:val="30137A7B"/>
    <w:rsid w:val="30356301"/>
    <w:rsid w:val="30820019"/>
    <w:rsid w:val="30B21AA1"/>
    <w:rsid w:val="313D1791"/>
    <w:rsid w:val="31593E49"/>
    <w:rsid w:val="318F0E1F"/>
    <w:rsid w:val="318F25DD"/>
    <w:rsid w:val="31A80722"/>
    <w:rsid w:val="31F03A64"/>
    <w:rsid w:val="32007023"/>
    <w:rsid w:val="321F16B0"/>
    <w:rsid w:val="32352734"/>
    <w:rsid w:val="32485975"/>
    <w:rsid w:val="32887CA4"/>
    <w:rsid w:val="32CE3B9D"/>
    <w:rsid w:val="32DF0143"/>
    <w:rsid w:val="332557FC"/>
    <w:rsid w:val="3339249B"/>
    <w:rsid w:val="3378359F"/>
    <w:rsid w:val="338E5CC9"/>
    <w:rsid w:val="33B15AA7"/>
    <w:rsid w:val="34172E7C"/>
    <w:rsid w:val="341C3953"/>
    <w:rsid w:val="344B7DB0"/>
    <w:rsid w:val="34712E95"/>
    <w:rsid w:val="34A02E4E"/>
    <w:rsid w:val="35145EFD"/>
    <w:rsid w:val="352E5FF7"/>
    <w:rsid w:val="354347AA"/>
    <w:rsid w:val="35493BCE"/>
    <w:rsid w:val="35A542FC"/>
    <w:rsid w:val="35A63BF4"/>
    <w:rsid w:val="35A73F68"/>
    <w:rsid w:val="35A8273B"/>
    <w:rsid w:val="35B01098"/>
    <w:rsid w:val="35B05701"/>
    <w:rsid w:val="35B50ADE"/>
    <w:rsid w:val="35F43B32"/>
    <w:rsid w:val="35F47B76"/>
    <w:rsid w:val="35F94EF0"/>
    <w:rsid w:val="36264DBD"/>
    <w:rsid w:val="362A6413"/>
    <w:rsid w:val="363457CE"/>
    <w:rsid w:val="36402340"/>
    <w:rsid w:val="364B1654"/>
    <w:rsid w:val="36971FD8"/>
    <w:rsid w:val="369B1C4D"/>
    <w:rsid w:val="36A030C5"/>
    <w:rsid w:val="36E67732"/>
    <w:rsid w:val="36F33CB8"/>
    <w:rsid w:val="370713F4"/>
    <w:rsid w:val="37152B14"/>
    <w:rsid w:val="37325F31"/>
    <w:rsid w:val="37504749"/>
    <w:rsid w:val="378B4980"/>
    <w:rsid w:val="378B5E21"/>
    <w:rsid w:val="37933452"/>
    <w:rsid w:val="37967C7B"/>
    <w:rsid w:val="379A0B8F"/>
    <w:rsid w:val="37A75BA4"/>
    <w:rsid w:val="37B00041"/>
    <w:rsid w:val="37B92F25"/>
    <w:rsid w:val="37D4403D"/>
    <w:rsid w:val="37EE633F"/>
    <w:rsid w:val="38161A64"/>
    <w:rsid w:val="38230C1E"/>
    <w:rsid w:val="383274F3"/>
    <w:rsid w:val="3850377D"/>
    <w:rsid w:val="38583E74"/>
    <w:rsid w:val="387F2D33"/>
    <w:rsid w:val="389B704E"/>
    <w:rsid w:val="3904006E"/>
    <w:rsid w:val="390E428F"/>
    <w:rsid w:val="390F0B19"/>
    <w:rsid w:val="39296E29"/>
    <w:rsid w:val="39844C83"/>
    <w:rsid w:val="39A044FA"/>
    <w:rsid w:val="39A45450"/>
    <w:rsid w:val="3A073106"/>
    <w:rsid w:val="3A0D2F9C"/>
    <w:rsid w:val="3A1F7823"/>
    <w:rsid w:val="3A221E6B"/>
    <w:rsid w:val="3A230573"/>
    <w:rsid w:val="3A436A32"/>
    <w:rsid w:val="3A596823"/>
    <w:rsid w:val="3A5D01CE"/>
    <w:rsid w:val="3A771A35"/>
    <w:rsid w:val="3A8D1F78"/>
    <w:rsid w:val="3ABB1BBE"/>
    <w:rsid w:val="3ACF6A36"/>
    <w:rsid w:val="3AD00D22"/>
    <w:rsid w:val="3ADB7D20"/>
    <w:rsid w:val="3AEB12AD"/>
    <w:rsid w:val="3AEC0A25"/>
    <w:rsid w:val="3AF133C0"/>
    <w:rsid w:val="3AFE034E"/>
    <w:rsid w:val="3B0E732C"/>
    <w:rsid w:val="3B5B31F6"/>
    <w:rsid w:val="3B5F71D8"/>
    <w:rsid w:val="3B6D40E4"/>
    <w:rsid w:val="3B7D68FB"/>
    <w:rsid w:val="3BA353D5"/>
    <w:rsid w:val="3BB03657"/>
    <w:rsid w:val="3C0369F4"/>
    <w:rsid w:val="3C0501A0"/>
    <w:rsid w:val="3C0858C5"/>
    <w:rsid w:val="3C4609C9"/>
    <w:rsid w:val="3C48456B"/>
    <w:rsid w:val="3C5C288D"/>
    <w:rsid w:val="3C667788"/>
    <w:rsid w:val="3C7E7499"/>
    <w:rsid w:val="3C8B41F5"/>
    <w:rsid w:val="3C8C5C42"/>
    <w:rsid w:val="3C9749D6"/>
    <w:rsid w:val="3CAC2807"/>
    <w:rsid w:val="3CAE3C0F"/>
    <w:rsid w:val="3CE060B2"/>
    <w:rsid w:val="3CE433BE"/>
    <w:rsid w:val="3CEE22EC"/>
    <w:rsid w:val="3D09443C"/>
    <w:rsid w:val="3D0F1FAE"/>
    <w:rsid w:val="3D3A2C5F"/>
    <w:rsid w:val="3D544982"/>
    <w:rsid w:val="3D6A52EC"/>
    <w:rsid w:val="3D7A4539"/>
    <w:rsid w:val="3D930435"/>
    <w:rsid w:val="3DC956A2"/>
    <w:rsid w:val="3DD66F4E"/>
    <w:rsid w:val="3DFE3642"/>
    <w:rsid w:val="3E120C81"/>
    <w:rsid w:val="3E3708FC"/>
    <w:rsid w:val="3E410DEC"/>
    <w:rsid w:val="3E477777"/>
    <w:rsid w:val="3E4A257F"/>
    <w:rsid w:val="3E640102"/>
    <w:rsid w:val="3E672367"/>
    <w:rsid w:val="3E683A83"/>
    <w:rsid w:val="3E7D017D"/>
    <w:rsid w:val="3EC22360"/>
    <w:rsid w:val="3EC97F2A"/>
    <w:rsid w:val="3EDC2852"/>
    <w:rsid w:val="3F2A31AA"/>
    <w:rsid w:val="3F40313E"/>
    <w:rsid w:val="3F41521E"/>
    <w:rsid w:val="3F976A97"/>
    <w:rsid w:val="3F992BA3"/>
    <w:rsid w:val="3F9A27E3"/>
    <w:rsid w:val="3FA27B97"/>
    <w:rsid w:val="3FC67A28"/>
    <w:rsid w:val="3FDC35ED"/>
    <w:rsid w:val="3FE1658B"/>
    <w:rsid w:val="3FEB2F08"/>
    <w:rsid w:val="400647EC"/>
    <w:rsid w:val="402014BE"/>
    <w:rsid w:val="402207B2"/>
    <w:rsid w:val="402C76EA"/>
    <w:rsid w:val="402D5F83"/>
    <w:rsid w:val="404C778F"/>
    <w:rsid w:val="405672F1"/>
    <w:rsid w:val="40673AB8"/>
    <w:rsid w:val="4077146E"/>
    <w:rsid w:val="40806B60"/>
    <w:rsid w:val="40A87B76"/>
    <w:rsid w:val="40AC4CA8"/>
    <w:rsid w:val="40B93115"/>
    <w:rsid w:val="40D0439D"/>
    <w:rsid w:val="40DD101E"/>
    <w:rsid w:val="40F82924"/>
    <w:rsid w:val="410C2558"/>
    <w:rsid w:val="41145892"/>
    <w:rsid w:val="41341E3A"/>
    <w:rsid w:val="41417B07"/>
    <w:rsid w:val="41531F34"/>
    <w:rsid w:val="418F0A0D"/>
    <w:rsid w:val="41A71D1B"/>
    <w:rsid w:val="41AD2039"/>
    <w:rsid w:val="41D16255"/>
    <w:rsid w:val="4201549E"/>
    <w:rsid w:val="42233587"/>
    <w:rsid w:val="42300288"/>
    <w:rsid w:val="425E7A5B"/>
    <w:rsid w:val="42626AB9"/>
    <w:rsid w:val="42956371"/>
    <w:rsid w:val="42C471C4"/>
    <w:rsid w:val="42CC6215"/>
    <w:rsid w:val="42EB0EC1"/>
    <w:rsid w:val="42EC767C"/>
    <w:rsid w:val="434C5942"/>
    <w:rsid w:val="435E3FF3"/>
    <w:rsid w:val="43700476"/>
    <w:rsid w:val="43712BA5"/>
    <w:rsid w:val="438A47DF"/>
    <w:rsid w:val="43D10864"/>
    <w:rsid w:val="43E8739A"/>
    <w:rsid w:val="43F03AD2"/>
    <w:rsid w:val="43F25097"/>
    <w:rsid w:val="44083B7E"/>
    <w:rsid w:val="448B665B"/>
    <w:rsid w:val="449C666B"/>
    <w:rsid w:val="44BE26E8"/>
    <w:rsid w:val="44CE42C0"/>
    <w:rsid w:val="44D553D9"/>
    <w:rsid w:val="44E217AA"/>
    <w:rsid w:val="45094CF9"/>
    <w:rsid w:val="45246515"/>
    <w:rsid w:val="45262383"/>
    <w:rsid w:val="45421657"/>
    <w:rsid w:val="454B2E48"/>
    <w:rsid w:val="45770B55"/>
    <w:rsid w:val="45A639D0"/>
    <w:rsid w:val="45BC72F8"/>
    <w:rsid w:val="45DD2BD1"/>
    <w:rsid w:val="46094B97"/>
    <w:rsid w:val="46130E13"/>
    <w:rsid w:val="462615ED"/>
    <w:rsid w:val="462F3A66"/>
    <w:rsid w:val="46381676"/>
    <w:rsid w:val="464D31FF"/>
    <w:rsid w:val="46D34BC5"/>
    <w:rsid w:val="46EB24D9"/>
    <w:rsid w:val="4708774D"/>
    <w:rsid w:val="471474BE"/>
    <w:rsid w:val="471A796B"/>
    <w:rsid w:val="47524D48"/>
    <w:rsid w:val="476202E3"/>
    <w:rsid w:val="477C6993"/>
    <w:rsid w:val="47AD1D21"/>
    <w:rsid w:val="47B518E6"/>
    <w:rsid w:val="47C94888"/>
    <w:rsid w:val="47CB2BDC"/>
    <w:rsid w:val="47E53D11"/>
    <w:rsid w:val="484252CE"/>
    <w:rsid w:val="48563FC3"/>
    <w:rsid w:val="485D4C94"/>
    <w:rsid w:val="48765730"/>
    <w:rsid w:val="488305A9"/>
    <w:rsid w:val="48BB59D9"/>
    <w:rsid w:val="48E6600D"/>
    <w:rsid w:val="49313767"/>
    <w:rsid w:val="496A3A4D"/>
    <w:rsid w:val="49F451D3"/>
    <w:rsid w:val="4A2003C3"/>
    <w:rsid w:val="4A8825C9"/>
    <w:rsid w:val="4A8F136C"/>
    <w:rsid w:val="4A9356C8"/>
    <w:rsid w:val="4AA01251"/>
    <w:rsid w:val="4AA5776C"/>
    <w:rsid w:val="4AFF1258"/>
    <w:rsid w:val="4B2C2D03"/>
    <w:rsid w:val="4B330D9E"/>
    <w:rsid w:val="4B45125D"/>
    <w:rsid w:val="4BCA23CD"/>
    <w:rsid w:val="4BE01562"/>
    <w:rsid w:val="4BF17BDC"/>
    <w:rsid w:val="4C5F2E75"/>
    <w:rsid w:val="4C6F712F"/>
    <w:rsid w:val="4C924D69"/>
    <w:rsid w:val="4C962747"/>
    <w:rsid w:val="4C9F7E7D"/>
    <w:rsid w:val="4CB50D01"/>
    <w:rsid w:val="4CBF56BA"/>
    <w:rsid w:val="4CC6560B"/>
    <w:rsid w:val="4D1C4BC6"/>
    <w:rsid w:val="4D357558"/>
    <w:rsid w:val="4D365A12"/>
    <w:rsid w:val="4D396CBE"/>
    <w:rsid w:val="4D465E8E"/>
    <w:rsid w:val="4D901605"/>
    <w:rsid w:val="4DA52354"/>
    <w:rsid w:val="4DD56887"/>
    <w:rsid w:val="4DE00837"/>
    <w:rsid w:val="4E2831CB"/>
    <w:rsid w:val="4E3228BE"/>
    <w:rsid w:val="4E3D3081"/>
    <w:rsid w:val="4E4E39A8"/>
    <w:rsid w:val="4E5826A1"/>
    <w:rsid w:val="4E8823AF"/>
    <w:rsid w:val="4E9C056D"/>
    <w:rsid w:val="4EB93DEC"/>
    <w:rsid w:val="4ED94413"/>
    <w:rsid w:val="4F101F79"/>
    <w:rsid w:val="4F345763"/>
    <w:rsid w:val="4F704FAF"/>
    <w:rsid w:val="4F860E43"/>
    <w:rsid w:val="4FA86FA0"/>
    <w:rsid w:val="4FAE5668"/>
    <w:rsid w:val="4FBA1AAE"/>
    <w:rsid w:val="4FC31F8E"/>
    <w:rsid w:val="4FE43D6C"/>
    <w:rsid w:val="50112555"/>
    <w:rsid w:val="501F5C09"/>
    <w:rsid w:val="504C67F5"/>
    <w:rsid w:val="505B0E36"/>
    <w:rsid w:val="5090612B"/>
    <w:rsid w:val="50A879BE"/>
    <w:rsid w:val="50D23AE9"/>
    <w:rsid w:val="50FB7A34"/>
    <w:rsid w:val="510936A7"/>
    <w:rsid w:val="512C2072"/>
    <w:rsid w:val="51334C60"/>
    <w:rsid w:val="513B229C"/>
    <w:rsid w:val="514F1B56"/>
    <w:rsid w:val="51722F64"/>
    <w:rsid w:val="51916AD4"/>
    <w:rsid w:val="51994C24"/>
    <w:rsid w:val="51AA4FFD"/>
    <w:rsid w:val="51B0471E"/>
    <w:rsid w:val="51B60276"/>
    <w:rsid w:val="51BD0C3B"/>
    <w:rsid w:val="52082648"/>
    <w:rsid w:val="520C6344"/>
    <w:rsid w:val="521502DD"/>
    <w:rsid w:val="52220367"/>
    <w:rsid w:val="5234706A"/>
    <w:rsid w:val="523E0D55"/>
    <w:rsid w:val="5256074B"/>
    <w:rsid w:val="528C425D"/>
    <w:rsid w:val="528D5BC6"/>
    <w:rsid w:val="52FC569B"/>
    <w:rsid w:val="53076D27"/>
    <w:rsid w:val="53243EED"/>
    <w:rsid w:val="533841D5"/>
    <w:rsid w:val="537F7188"/>
    <w:rsid w:val="53850CAD"/>
    <w:rsid w:val="53912006"/>
    <w:rsid w:val="53922D76"/>
    <w:rsid w:val="53B3053D"/>
    <w:rsid w:val="53BF3634"/>
    <w:rsid w:val="53C65F4F"/>
    <w:rsid w:val="53C6742C"/>
    <w:rsid w:val="53C840B0"/>
    <w:rsid w:val="541F094D"/>
    <w:rsid w:val="54271558"/>
    <w:rsid w:val="54487FE7"/>
    <w:rsid w:val="54585750"/>
    <w:rsid w:val="546E5E35"/>
    <w:rsid w:val="54C56EE6"/>
    <w:rsid w:val="54C63B24"/>
    <w:rsid w:val="54E86147"/>
    <w:rsid w:val="54F46B0D"/>
    <w:rsid w:val="54F7758E"/>
    <w:rsid w:val="54F77CF7"/>
    <w:rsid w:val="55060465"/>
    <w:rsid w:val="5527372D"/>
    <w:rsid w:val="55734F3F"/>
    <w:rsid w:val="55993438"/>
    <w:rsid w:val="55EB3EE9"/>
    <w:rsid w:val="55ED446E"/>
    <w:rsid w:val="55FE0612"/>
    <w:rsid w:val="565040F3"/>
    <w:rsid w:val="567662E3"/>
    <w:rsid w:val="5687645D"/>
    <w:rsid w:val="5689341D"/>
    <w:rsid w:val="569B40FA"/>
    <w:rsid w:val="569E39F6"/>
    <w:rsid w:val="56B93AE3"/>
    <w:rsid w:val="56C24968"/>
    <w:rsid w:val="56E00626"/>
    <w:rsid w:val="5721133E"/>
    <w:rsid w:val="572425B8"/>
    <w:rsid w:val="5762243A"/>
    <w:rsid w:val="57800FE0"/>
    <w:rsid w:val="57861234"/>
    <w:rsid w:val="57C624F7"/>
    <w:rsid w:val="57D749F5"/>
    <w:rsid w:val="57E16905"/>
    <w:rsid w:val="57E37373"/>
    <w:rsid w:val="57E52E10"/>
    <w:rsid w:val="57E663EF"/>
    <w:rsid w:val="57E83C90"/>
    <w:rsid w:val="57E85B76"/>
    <w:rsid w:val="57EE7C7A"/>
    <w:rsid w:val="57FB4FC8"/>
    <w:rsid w:val="580C4E7B"/>
    <w:rsid w:val="5811447A"/>
    <w:rsid w:val="58135DEA"/>
    <w:rsid w:val="582B0FAD"/>
    <w:rsid w:val="582F7506"/>
    <w:rsid w:val="583407B4"/>
    <w:rsid w:val="58521767"/>
    <w:rsid w:val="58544DC9"/>
    <w:rsid w:val="58C06659"/>
    <w:rsid w:val="590E6392"/>
    <w:rsid w:val="59144D1C"/>
    <w:rsid w:val="59242902"/>
    <w:rsid w:val="59315841"/>
    <w:rsid w:val="5958100C"/>
    <w:rsid w:val="597B0C76"/>
    <w:rsid w:val="599860DD"/>
    <w:rsid w:val="59A865E1"/>
    <w:rsid w:val="59B27D92"/>
    <w:rsid w:val="59D203E7"/>
    <w:rsid w:val="59DA503B"/>
    <w:rsid w:val="59E85EC9"/>
    <w:rsid w:val="59E86306"/>
    <w:rsid w:val="59EF2E4A"/>
    <w:rsid w:val="5A16185C"/>
    <w:rsid w:val="5A2E7D0E"/>
    <w:rsid w:val="5A303BAA"/>
    <w:rsid w:val="5A4C2299"/>
    <w:rsid w:val="5A7473BE"/>
    <w:rsid w:val="5AB125A5"/>
    <w:rsid w:val="5AB625BC"/>
    <w:rsid w:val="5AB9680D"/>
    <w:rsid w:val="5ADA10B6"/>
    <w:rsid w:val="5ADA45CB"/>
    <w:rsid w:val="5B071CA7"/>
    <w:rsid w:val="5B0D2006"/>
    <w:rsid w:val="5B28463B"/>
    <w:rsid w:val="5B2F7C1F"/>
    <w:rsid w:val="5B3972FD"/>
    <w:rsid w:val="5B4C73D2"/>
    <w:rsid w:val="5B4F3D21"/>
    <w:rsid w:val="5B822D48"/>
    <w:rsid w:val="5B8D4D7C"/>
    <w:rsid w:val="5B9E37F9"/>
    <w:rsid w:val="5BC4636B"/>
    <w:rsid w:val="5BEF0DAB"/>
    <w:rsid w:val="5BFD194C"/>
    <w:rsid w:val="5C3C7379"/>
    <w:rsid w:val="5C451DA5"/>
    <w:rsid w:val="5C4917AC"/>
    <w:rsid w:val="5C7B6860"/>
    <w:rsid w:val="5C831723"/>
    <w:rsid w:val="5C833A60"/>
    <w:rsid w:val="5C9C02EC"/>
    <w:rsid w:val="5CB218AB"/>
    <w:rsid w:val="5CC311BD"/>
    <w:rsid w:val="5CFA3A4F"/>
    <w:rsid w:val="5D0B350A"/>
    <w:rsid w:val="5D1477C3"/>
    <w:rsid w:val="5D34606D"/>
    <w:rsid w:val="5D3E28C5"/>
    <w:rsid w:val="5D3E7BCE"/>
    <w:rsid w:val="5D3F63FF"/>
    <w:rsid w:val="5D4B18DD"/>
    <w:rsid w:val="5D5009DD"/>
    <w:rsid w:val="5D5D02B7"/>
    <w:rsid w:val="5D5D0DB8"/>
    <w:rsid w:val="5D8D129A"/>
    <w:rsid w:val="5DBA2299"/>
    <w:rsid w:val="5DDD0259"/>
    <w:rsid w:val="5DE43416"/>
    <w:rsid w:val="5DE52F36"/>
    <w:rsid w:val="5E002623"/>
    <w:rsid w:val="5E0A67DF"/>
    <w:rsid w:val="5E3870DE"/>
    <w:rsid w:val="5E795044"/>
    <w:rsid w:val="5E971282"/>
    <w:rsid w:val="5EB34803"/>
    <w:rsid w:val="5EBE56F4"/>
    <w:rsid w:val="5EC31013"/>
    <w:rsid w:val="5EDC0447"/>
    <w:rsid w:val="5EDD5E7F"/>
    <w:rsid w:val="5EFB7C0D"/>
    <w:rsid w:val="5F0968A8"/>
    <w:rsid w:val="5F2065A1"/>
    <w:rsid w:val="5F4A270E"/>
    <w:rsid w:val="5F686C57"/>
    <w:rsid w:val="5F7078EA"/>
    <w:rsid w:val="5F980DE2"/>
    <w:rsid w:val="5FDC47CF"/>
    <w:rsid w:val="5FED53A6"/>
    <w:rsid w:val="5FF30F54"/>
    <w:rsid w:val="5FF74A15"/>
    <w:rsid w:val="5FFA072C"/>
    <w:rsid w:val="6042102D"/>
    <w:rsid w:val="604D6B03"/>
    <w:rsid w:val="607722C4"/>
    <w:rsid w:val="609A4468"/>
    <w:rsid w:val="60A04824"/>
    <w:rsid w:val="60B84BD3"/>
    <w:rsid w:val="60C55E29"/>
    <w:rsid w:val="61126C86"/>
    <w:rsid w:val="615153DE"/>
    <w:rsid w:val="616E4131"/>
    <w:rsid w:val="61920011"/>
    <w:rsid w:val="619F19B6"/>
    <w:rsid w:val="61A15C20"/>
    <w:rsid w:val="61A46B4B"/>
    <w:rsid w:val="61AC4248"/>
    <w:rsid w:val="61ED0AE3"/>
    <w:rsid w:val="62037A0A"/>
    <w:rsid w:val="620F1D8A"/>
    <w:rsid w:val="6222484B"/>
    <w:rsid w:val="62893ED1"/>
    <w:rsid w:val="62AB27EB"/>
    <w:rsid w:val="62DA4009"/>
    <w:rsid w:val="631603BE"/>
    <w:rsid w:val="63211F97"/>
    <w:rsid w:val="63240220"/>
    <w:rsid w:val="632C1846"/>
    <w:rsid w:val="6343307A"/>
    <w:rsid w:val="63637179"/>
    <w:rsid w:val="636570F1"/>
    <w:rsid w:val="639026FC"/>
    <w:rsid w:val="63953F7A"/>
    <w:rsid w:val="639602FF"/>
    <w:rsid w:val="63981ED1"/>
    <w:rsid w:val="63A52E8B"/>
    <w:rsid w:val="63AF1E6C"/>
    <w:rsid w:val="63B71F7B"/>
    <w:rsid w:val="63CD028D"/>
    <w:rsid w:val="64563EA2"/>
    <w:rsid w:val="647C7F37"/>
    <w:rsid w:val="64DB1A9B"/>
    <w:rsid w:val="64DE4592"/>
    <w:rsid w:val="64E37CE3"/>
    <w:rsid w:val="64EA3F33"/>
    <w:rsid w:val="651A0AB1"/>
    <w:rsid w:val="65241D66"/>
    <w:rsid w:val="65536A55"/>
    <w:rsid w:val="6556791B"/>
    <w:rsid w:val="657D1D84"/>
    <w:rsid w:val="65826FDD"/>
    <w:rsid w:val="65870BE7"/>
    <w:rsid w:val="65A415F5"/>
    <w:rsid w:val="65C423BC"/>
    <w:rsid w:val="65C80B94"/>
    <w:rsid w:val="65CE4C55"/>
    <w:rsid w:val="65D963EC"/>
    <w:rsid w:val="65DE272C"/>
    <w:rsid w:val="65EB6816"/>
    <w:rsid w:val="65FC0B78"/>
    <w:rsid w:val="661E4CAC"/>
    <w:rsid w:val="66396053"/>
    <w:rsid w:val="663D4BC7"/>
    <w:rsid w:val="66404EA4"/>
    <w:rsid w:val="66557E4A"/>
    <w:rsid w:val="66740BFD"/>
    <w:rsid w:val="66781528"/>
    <w:rsid w:val="66827A59"/>
    <w:rsid w:val="668C3797"/>
    <w:rsid w:val="66B543A1"/>
    <w:rsid w:val="66C75233"/>
    <w:rsid w:val="66C958A3"/>
    <w:rsid w:val="66F2152E"/>
    <w:rsid w:val="67A1751C"/>
    <w:rsid w:val="67B41757"/>
    <w:rsid w:val="67C67B8B"/>
    <w:rsid w:val="67C86B32"/>
    <w:rsid w:val="67E2078C"/>
    <w:rsid w:val="67F10F1A"/>
    <w:rsid w:val="680739EC"/>
    <w:rsid w:val="683E630C"/>
    <w:rsid w:val="68532442"/>
    <w:rsid w:val="68796588"/>
    <w:rsid w:val="687F1A26"/>
    <w:rsid w:val="689D52C4"/>
    <w:rsid w:val="68AD551B"/>
    <w:rsid w:val="68B91B78"/>
    <w:rsid w:val="68DA7FF3"/>
    <w:rsid w:val="691C3AE9"/>
    <w:rsid w:val="692A7B93"/>
    <w:rsid w:val="692D2AB8"/>
    <w:rsid w:val="6935490F"/>
    <w:rsid w:val="693E7824"/>
    <w:rsid w:val="69600900"/>
    <w:rsid w:val="696164F2"/>
    <w:rsid w:val="696256B9"/>
    <w:rsid w:val="697A316D"/>
    <w:rsid w:val="698C6456"/>
    <w:rsid w:val="69937AAD"/>
    <w:rsid w:val="69A47D24"/>
    <w:rsid w:val="69A94DD2"/>
    <w:rsid w:val="69BE6465"/>
    <w:rsid w:val="69D85505"/>
    <w:rsid w:val="69EA4057"/>
    <w:rsid w:val="6A0C0D24"/>
    <w:rsid w:val="6A1757C0"/>
    <w:rsid w:val="6A496CF5"/>
    <w:rsid w:val="6A6364F8"/>
    <w:rsid w:val="6A905AE5"/>
    <w:rsid w:val="6AC71305"/>
    <w:rsid w:val="6AFA1BE4"/>
    <w:rsid w:val="6B180C69"/>
    <w:rsid w:val="6B2F792C"/>
    <w:rsid w:val="6B3A5E16"/>
    <w:rsid w:val="6B43739A"/>
    <w:rsid w:val="6B507977"/>
    <w:rsid w:val="6B5D5414"/>
    <w:rsid w:val="6B7202C9"/>
    <w:rsid w:val="6B9A7CE3"/>
    <w:rsid w:val="6BAA65CD"/>
    <w:rsid w:val="6BB80B18"/>
    <w:rsid w:val="6BFE74DB"/>
    <w:rsid w:val="6C094959"/>
    <w:rsid w:val="6C2037AA"/>
    <w:rsid w:val="6C950AA2"/>
    <w:rsid w:val="6CAC3FD4"/>
    <w:rsid w:val="6CB863DE"/>
    <w:rsid w:val="6CBB66EA"/>
    <w:rsid w:val="6CCB5F17"/>
    <w:rsid w:val="6D0644FD"/>
    <w:rsid w:val="6D097730"/>
    <w:rsid w:val="6D225C73"/>
    <w:rsid w:val="6D2F5775"/>
    <w:rsid w:val="6D5D42DA"/>
    <w:rsid w:val="6D6605CB"/>
    <w:rsid w:val="6D6720FA"/>
    <w:rsid w:val="6DE11930"/>
    <w:rsid w:val="6DF246F5"/>
    <w:rsid w:val="6E3134B5"/>
    <w:rsid w:val="6E671D2A"/>
    <w:rsid w:val="6E812DA7"/>
    <w:rsid w:val="6EA74F0F"/>
    <w:rsid w:val="6EC94608"/>
    <w:rsid w:val="6ED60CD7"/>
    <w:rsid w:val="6EDE125E"/>
    <w:rsid w:val="6EF56711"/>
    <w:rsid w:val="6F042B88"/>
    <w:rsid w:val="6F246BBE"/>
    <w:rsid w:val="6F2F6D9D"/>
    <w:rsid w:val="6FA50BC4"/>
    <w:rsid w:val="6FA66E0D"/>
    <w:rsid w:val="6FAD6045"/>
    <w:rsid w:val="6FF50CA3"/>
    <w:rsid w:val="6FF70EAC"/>
    <w:rsid w:val="701A772D"/>
    <w:rsid w:val="705C05CC"/>
    <w:rsid w:val="705C2EE4"/>
    <w:rsid w:val="707D2763"/>
    <w:rsid w:val="708E390C"/>
    <w:rsid w:val="709B638B"/>
    <w:rsid w:val="70A014A2"/>
    <w:rsid w:val="70A86773"/>
    <w:rsid w:val="70AF5975"/>
    <w:rsid w:val="70B02B26"/>
    <w:rsid w:val="70B62343"/>
    <w:rsid w:val="70BC7331"/>
    <w:rsid w:val="70CB2E46"/>
    <w:rsid w:val="70D230ED"/>
    <w:rsid w:val="70D470CF"/>
    <w:rsid w:val="70F740B1"/>
    <w:rsid w:val="710214AC"/>
    <w:rsid w:val="71035C80"/>
    <w:rsid w:val="71143386"/>
    <w:rsid w:val="712D5A09"/>
    <w:rsid w:val="71630C7A"/>
    <w:rsid w:val="719D3467"/>
    <w:rsid w:val="71A44F95"/>
    <w:rsid w:val="71C51332"/>
    <w:rsid w:val="71D717B1"/>
    <w:rsid w:val="720B2197"/>
    <w:rsid w:val="721C1E0F"/>
    <w:rsid w:val="7222043A"/>
    <w:rsid w:val="72247441"/>
    <w:rsid w:val="72327493"/>
    <w:rsid w:val="723B1FB6"/>
    <w:rsid w:val="727662F7"/>
    <w:rsid w:val="727B57EA"/>
    <w:rsid w:val="729B7CF4"/>
    <w:rsid w:val="72B03BBE"/>
    <w:rsid w:val="72C63A86"/>
    <w:rsid w:val="72E46F07"/>
    <w:rsid w:val="731435E7"/>
    <w:rsid w:val="73156309"/>
    <w:rsid w:val="731664D2"/>
    <w:rsid w:val="732303AC"/>
    <w:rsid w:val="7340781B"/>
    <w:rsid w:val="7342764F"/>
    <w:rsid w:val="735B05F9"/>
    <w:rsid w:val="73AE7913"/>
    <w:rsid w:val="73BD66BB"/>
    <w:rsid w:val="73C1438B"/>
    <w:rsid w:val="73C868BE"/>
    <w:rsid w:val="73D1115D"/>
    <w:rsid w:val="73D55287"/>
    <w:rsid w:val="73DC6935"/>
    <w:rsid w:val="73E2515B"/>
    <w:rsid w:val="73E435CB"/>
    <w:rsid w:val="73FC0752"/>
    <w:rsid w:val="74050887"/>
    <w:rsid w:val="740C02FA"/>
    <w:rsid w:val="742E74B2"/>
    <w:rsid w:val="74637CC6"/>
    <w:rsid w:val="7497509D"/>
    <w:rsid w:val="74D3008C"/>
    <w:rsid w:val="74DA145D"/>
    <w:rsid w:val="74EF1438"/>
    <w:rsid w:val="74FD7D40"/>
    <w:rsid w:val="754324F5"/>
    <w:rsid w:val="75436194"/>
    <w:rsid w:val="754379D0"/>
    <w:rsid w:val="75445299"/>
    <w:rsid w:val="75521424"/>
    <w:rsid w:val="755F069C"/>
    <w:rsid w:val="75762442"/>
    <w:rsid w:val="757D2588"/>
    <w:rsid w:val="75916733"/>
    <w:rsid w:val="759D694C"/>
    <w:rsid w:val="75C25682"/>
    <w:rsid w:val="75E97B09"/>
    <w:rsid w:val="75FD6E27"/>
    <w:rsid w:val="76031448"/>
    <w:rsid w:val="76257CDD"/>
    <w:rsid w:val="76406A3E"/>
    <w:rsid w:val="76627FB2"/>
    <w:rsid w:val="76916F66"/>
    <w:rsid w:val="76A7636E"/>
    <w:rsid w:val="76AF4FE1"/>
    <w:rsid w:val="76FA0198"/>
    <w:rsid w:val="772307B3"/>
    <w:rsid w:val="774E1DF5"/>
    <w:rsid w:val="777875D3"/>
    <w:rsid w:val="777912A3"/>
    <w:rsid w:val="77B5680B"/>
    <w:rsid w:val="77C73137"/>
    <w:rsid w:val="77D33E1E"/>
    <w:rsid w:val="77E26685"/>
    <w:rsid w:val="77E93D57"/>
    <w:rsid w:val="77EA35AC"/>
    <w:rsid w:val="77EF0A2F"/>
    <w:rsid w:val="78086A38"/>
    <w:rsid w:val="78192323"/>
    <w:rsid w:val="78555F21"/>
    <w:rsid w:val="78E22A5A"/>
    <w:rsid w:val="79064F25"/>
    <w:rsid w:val="79190CA8"/>
    <w:rsid w:val="791B30A8"/>
    <w:rsid w:val="792708DE"/>
    <w:rsid w:val="793D5F6A"/>
    <w:rsid w:val="794B535A"/>
    <w:rsid w:val="79796EAF"/>
    <w:rsid w:val="797B2061"/>
    <w:rsid w:val="79800CB8"/>
    <w:rsid w:val="7982172E"/>
    <w:rsid w:val="798525A8"/>
    <w:rsid w:val="798F7EE5"/>
    <w:rsid w:val="79B13D0D"/>
    <w:rsid w:val="79C02D1B"/>
    <w:rsid w:val="79C537B5"/>
    <w:rsid w:val="79CE1836"/>
    <w:rsid w:val="7A066EBF"/>
    <w:rsid w:val="7A1D45E4"/>
    <w:rsid w:val="7A357152"/>
    <w:rsid w:val="7A581E31"/>
    <w:rsid w:val="7A6A3E47"/>
    <w:rsid w:val="7A7160B2"/>
    <w:rsid w:val="7A825FEE"/>
    <w:rsid w:val="7A8657C2"/>
    <w:rsid w:val="7A8D5785"/>
    <w:rsid w:val="7AC31BFA"/>
    <w:rsid w:val="7AC7113B"/>
    <w:rsid w:val="7AEF4028"/>
    <w:rsid w:val="7B110958"/>
    <w:rsid w:val="7B261048"/>
    <w:rsid w:val="7B510DD9"/>
    <w:rsid w:val="7B5B0205"/>
    <w:rsid w:val="7B5E1397"/>
    <w:rsid w:val="7BAD46B7"/>
    <w:rsid w:val="7BEF788F"/>
    <w:rsid w:val="7C067A93"/>
    <w:rsid w:val="7C07379A"/>
    <w:rsid w:val="7C107C1A"/>
    <w:rsid w:val="7C366312"/>
    <w:rsid w:val="7C594A32"/>
    <w:rsid w:val="7C5E0A3F"/>
    <w:rsid w:val="7C6D406A"/>
    <w:rsid w:val="7C716450"/>
    <w:rsid w:val="7C872792"/>
    <w:rsid w:val="7CA43884"/>
    <w:rsid w:val="7CBB632B"/>
    <w:rsid w:val="7CBD1957"/>
    <w:rsid w:val="7CBE6395"/>
    <w:rsid w:val="7CD02199"/>
    <w:rsid w:val="7D0E19B1"/>
    <w:rsid w:val="7D163F42"/>
    <w:rsid w:val="7D346D29"/>
    <w:rsid w:val="7D505548"/>
    <w:rsid w:val="7D5B33D4"/>
    <w:rsid w:val="7D6503D0"/>
    <w:rsid w:val="7D9521C0"/>
    <w:rsid w:val="7D97199E"/>
    <w:rsid w:val="7DA539FD"/>
    <w:rsid w:val="7DCE0CC7"/>
    <w:rsid w:val="7DE5758A"/>
    <w:rsid w:val="7DE8576B"/>
    <w:rsid w:val="7DFDDB44"/>
    <w:rsid w:val="7E1049D4"/>
    <w:rsid w:val="7E1F4B4D"/>
    <w:rsid w:val="7E222239"/>
    <w:rsid w:val="7E3642D1"/>
    <w:rsid w:val="7E454420"/>
    <w:rsid w:val="7E6C6839"/>
    <w:rsid w:val="7EB53387"/>
    <w:rsid w:val="7ECB6E9B"/>
    <w:rsid w:val="7EE36EA1"/>
    <w:rsid w:val="7EE3707A"/>
    <w:rsid w:val="7EED6C09"/>
    <w:rsid w:val="7F0C1269"/>
    <w:rsid w:val="7F0F2B55"/>
    <w:rsid w:val="7F1346E1"/>
    <w:rsid w:val="7F2C5045"/>
    <w:rsid w:val="7F3C6D97"/>
    <w:rsid w:val="7F616764"/>
    <w:rsid w:val="7F867EBD"/>
    <w:rsid w:val="7F8A7854"/>
    <w:rsid w:val="AFF7F503"/>
    <w:rsid w:val="B1CA9CF5"/>
    <w:rsid w:val="BD6F3E24"/>
    <w:rsid w:val="BEFF9AB4"/>
    <w:rsid w:val="EEB47688"/>
    <w:rsid w:val="F3BBE443"/>
    <w:rsid w:val="F7F6D95E"/>
    <w:rsid w:val="FEF5D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12" w:lineRule="auto"/>
      <w:ind w:firstLine="200" w:firstLineChars="200"/>
      <w:jc w:val="both"/>
    </w:pPr>
    <w:rPr>
      <w:rFonts w:ascii="Times New Roman" w:hAnsi="Times New Roman" w:eastAsia="仿宋" w:cs="Times New Roman"/>
      <w:kern w:val="2"/>
      <w:sz w:val="24"/>
      <w:szCs w:val="22"/>
      <w:lang w:val="en-US" w:eastAsia="zh-CN" w:bidi="ar-SA"/>
    </w:rPr>
  </w:style>
  <w:style w:type="paragraph" w:styleId="3">
    <w:name w:val="heading 1"/>
    <w:basedOn w:val="1"/>
    <w:next w:val="1"/>
    <w:link w:val="46"/>
    <w:qFormat/>
    <w:uiPriority w:val="9"/>
    <w:pPr>
      <w:keepNext/>
      <w:keepLines/>
      <w:spacing w:before="340" w:after="330" w:line="360" w:lineRule="auto"/>
      <w:ind w:firstLine="0" w:firstLineChars="0"/>
      <w:jc w:val="center"/>
      <w:outlineLvl w:val="0"/>
    </w:pPr>
    <w:rPr>
      <w:rFonts w:eastAsia="宋体"/>
      <w:bCs/>
      <w:kern w:val="44"/>
      <w:sz w:val="44"/>
      <w:szCs w:val="44"/>
    </w:rPr>
  </w:style>
  <w:style w:type="paragraph" w:styleId="4">
    <w:name w:val="heading 2"/>
    <w:basedOn w:val="1"/>
    <w:next w:val="1"/>
    <w:link w:val="44"/>
    <w:qFormat/>
    <w:uiPriority w:val="9"/>
    <w:pPr>
      <w:keepNext/>
      <w:keepLines/>
      <w:spacing w:before="260" w:after="260" w:line="360" w:lineRule="auto"/>
      <w:jc w:val="left"/>
      <w:outlineLvl w:val="1"/>
    </w:pPr>
    <w:rPr>
      <w:rFonts w:eastAsia="黑体"/>
      <w:bCs/>
      <w:sz w:val="32"/>
      <w:szCs w:val="32"/>
    </w:rPr>
  </w:style>
  <w:style w:type="paragraph" w:styleId="5">
    <w:name w:val="heading 3"/>
    <w:basedOn w:val="1"/>
    <w:next w:val="1"/>
    <w:link w:val="43"/>
    <w:qFormat/>
    <w:uiPriority w:val="9"/>
    <w:pPr>
      <w:keepNext/>
      <w:keepLines/>
      <w:spacing w:before="260" w:after="260" w:line="360" w:lineRule="auto"/>
      <w:outlineLvl w:val="2"/>
    </w:pPr>
    <w:rPr>
      <w:rFonts w:eastAsia="楷体"/>
      <w:bCs/>
      <w:sz w:val="32"/>
      <w:szCs w:val="32"/>
    </w:rPr>
  </w:style>
  <w:style w:type="paragraph" w:styleId="6">
    <w:name w:val="heading 4"/>
    <w:basedOn w:val="1"/>
    <w:next w:val="1"/>
    <w:link w:val="42"/>
    <w:qFormat/>
    <w:uiPriority w:val="9"/>
    <w:pPr>
      <w:keepNext/>
      <w:keepLines/>
      <w:spacing w:before="280" w:after="290" w:line="376" w:lineRule="auto"/>
      <w:outlineLvl w:val="3"/>
    </w:pPr>
    <w:rPr>
      <w:rFonts w:eastAsia="宋体"/>
      <w:bCs/>
      <w:szCs w:val="28"/>
    </w:rPr>
  </w:style>
  <w:style w:type="paragraph" w:styleId="7">
    <w:name w:val="heading 5"/>
    <w:basedOn w:val="1"/>
    <w:next w:val="1"/>
    <w:link w:val="71"/>
    <w:unhideWhenUsed/>
    <w:qFormat/>
    <w:uiPriority w:val="9"/>
    <w:pPr>
      <w:keepNext/>
      <w:keepLines/>
      <w:spacing w:before="280" w:after="290" w:line="376" w:lineRule="auto"/>
      <w:outlineLvl w:val="4"/>
    </w:pPr>
    <w:rPr>
      <w:b/>
      <w:bCs/>
      <w:sz w:val="28"/>
      <w:szCs w:val="28"/>
    </w:rPr>
  </w:style>
  <w:style w:type="paragraph" w:styleId="8">
    <w:name w:val="heading 6"/>
    <w:basedOn w:val="1"/>
    <w:next w:val="1"/>
    <w:qFormat/>
    <w:uiPriority w:val="1"/>
    <w:pPr>
      <w:ind w:left="600"/>
      <w:outlineLvl w:val="6"/>
    </w:pPr>
    <w:rPr>
      <w:rFonts w:ascii="宋体" w:hAnsi="宋体" w:eastAsia="宋体"/>
      <w:b/>
      <w:bCs/>
      <w:sz w:val="24"/>
      <w:szCs w:val="24"/>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customStyle="1" w:styleId="2">
    <w:name w:val="样式 正文11 + 首行缩进:  2 字符"/>
    <w:basedOn w:val="1"/>
    <w:qFormat/>
    <w:uiPriority w:val="0"/>
    <w:pPr>
      <w:spacing w:line="500" w:lineRule="exact"/>
      <w:ind w:firstLine="560"/>
    </w:pPr>
    <w:rPr>
      <w:color w:val="FF0000"/>
      <w:sz w:val="24"/>
    </w:rPr>
  </w:style>
  <w:style w:type="paragraph" w:styleId="9">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rPr>
  </w:style>
  <w:style w:type="paragraph" w:styleId="10">
    <w:name w:val="Normal Indent"/>
    <w:basedOn w:val="1"/>
    <w:unhideWhenUsed/>
    <w:qFormat/>
    <w:uiPriority w:val="0"/>
    <w:pPr>
      <w:ind w:firstLine="420" w:firstLineChars="200"/>
    </w:pPr>
    <w:rPr>
      <w:kern w:val="0"/>
      <w:sz w:val="20"/>
    </w:rPr>
  </w:style>
  <w:style w:type="paragraph" w:styleId="11">
    <w:name w:val="Document Map"/>
    <w:basedOn w:val="1"/>
    <w:link w:val="72"/>
    <w:unhideWhenUsed/>
    <w:qFormat/>
    <w:uiPriority w:val="99"/>
    <w:pPr>
      <w:spacing w:line="360" w:lineRule="auto"/>
    </w:pPr>
    <w:rPr>
      <w:rFonts w:ascii="宋体" w:eastAsia="宋体" w:cstheme="minorBidi"/>
      <w:sz w:val="18"/>
      <w:szCs w:val="18"/>
    </w:rPr>
  </w:style>
  <w:style w:type="paragraph" w:styleId="12">
    <w:name w:val="annotation text"/>
    <w:basedOn w:val="1"/>
    <w:link w:val="62"/>
    <w:unhideWhenUsed/>
    <w:qFormat/>
    <w:uiPriority w:val="99"/>
    <w:pPr>
      <w:jc w:val="left"/>
    </w:pPr>
  </w:style>
  <w:style w:type="paragraph" w:styleId="13">
    <w:name w:val="Body Text"/>
    <w:basedOn w:val="1"/>
    <w:link w:val="73"/>
    <w:unhideWhenUsed/>
    <w:qFormat/>
    <w:uiPriority w:val="99"/>
    <w:pPr>
      <w:spacing w:after="120" w:line="360" w:lineRule="auto"/>
    </w:pPr>
    <w:rPr>
      <w:rFonts w:cstheme="minorBidi"/>
    </w:rPr>
  </w:style>
  <w:style w:type="paragraph" w:styleId="14">
    <w:name w:val="Body Text Indent"/>
    <w:basedOn w:val="1"/>
    <w:next w:val="1"/>
    <w:link w:val="74"/>
    <w:unhideWhenUsed/>
    <w:qFormat/>
    <w:uiPriority w:val="99"/>
    <w:pPr>
      <w:spacing w:after="120" w:line="360" w:lineRule="auto"/>
      <w:ind w:left="420" w:leftChars="200"/>
    </w:pPr>
    <w:rPr>
      <w:rFonts w:cstheme="minorBidi"/>
    </w:rPr>
  </w:style>
  <w:style w:type="paragraph" w:styleId="15">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rPr>
  </w:style>
  <w:style w:type="paragraph" w:styleId="16">
    <w:name w:val="toc 3"/>
    <w:basedOn w:val="1"/>
    <w:next w:val="1"/>
    <w:unhideWhenUsed/>
    <w:qFormat/>
    <w:uiPriority w:val="39"/>
    <w:pPr>
      <w:spacing w:line="360" w:lineRule="auto"/>
      <w:ind w:left="840" w:leftChars="400"/>
    </w:pPr>
    <w:rPr>
      <w:rFonts w:cstheme="minorBidi"/>
    </w:rPr>
  </w:style>
  <w:style w:type="paragraph" w:styleId="17">
    <w:name w:val="Plain Text"/>
    <w:basedOn w:val="1"/>
    <w:qFormat/>
    <w:uiPriority w:val="0"/>
    <w:pPr>
      <w:adjustRightInd w:val="0"/>
      <w:spacing w:line="312" w:lineRule="atLeast"/>
      <w:textAlignment w:val="baseline"/>
    </w:pPr>
    <w:rPr>
      <w:rFonts w:ascii="宋体" w:hAnsi="Courier New" w:eastAsia="宋体"/>
    </w:rPr>
  </w:style>
  <w:style w:type="paragraph" w:styleId="18">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rPr>
  </w:style>
  <w:style w:type="paragraph" w:styleId="19">
    <w:name w:val="Date"/>
    <w:basedOn w:val="1"/>
    <w:next w:val="1"/>
    <w:link w:val="64"/>
    <w:unhideWhenUsed/>
    <w:qFormat/>
    <w:uiPriority w:val="99"/>
    <w:pPr>
      <w:ind w:left="100" w:leftChars="2500"/>
    </w:pPr>
  </w:style>
  <w:style w:type="paragraph" w:styleId="20">
    <w:name w:val="Body Text Indent 2"/>
    <w:basedOn w:val="1"/>
    <w:next w:val="1"/>
    <w:qFormat/>
    <w:uiPriority w:val="0"/>
    <w:pPr>
      <w:spacing w:after="120" w:line="480" w:lineRule="auto"/>
      <w:ind w:left="420" w:leftChars="200"/>
    </w:pPr>
    <w:rPr>
      <w:kern w:val="0"/>
      <w:sz w:val="20"/>
    </w:rPr>
  </w:style>
  <w:style w:type="paragraph" w:styleId="21">
    <w:name w:val="Balloon Text"/>
    <w:basedOn w:val="1"/>
    <w:link w:val="50"/>
    <w:unhideWhenUsed/>
    <w:qFormat/>
    <w:uiPriority w:val="99"/>
    <w:pPr>
      <w:spacing w:line="240" w:lineRule="auto"/>
    </w:pPr>
    <w:rPr>
      <w:sz w:val="18"/>
      <w:szCs w:val="18"/>
    </w:rPr>
  </w:style>
  <w:style w:type="paragraph" w:styleId="22">
    <w:name w:val="footer"/>
    <w:basedOn w:val="1"/>
    <w:link w:val="49"/>
    <w:unhideWhenUsed/>
    <w:qFormat/>
    <w:uiPriority w:val="99"/>
    <w:pPr>
      <w:tabs>
        <w:tab w:val="center" w:pos="4153"/>
        <w:tab w:val="right" w:pos="8306"/>
      </w:tabs>
      <w:snapToGrid w:val="0"/>
      <w:spacing w:line="240" w:lineRule="auto"/>
      <w:jc w:val="left"/>
    </w:pPr>
    <w:rPr>
      <w:sz w:val="18"/>
      <w:szCs w:val="18"/>
    </w:rPr>
  </w:style>
  <w:style w:type="paragraph" w:styleId="23">
    <w:name w:val="header"/>
    <w:basedOn w:val="1"/>
    <w:link w:val="4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unhideWhenUsed/>
    <w:qFormat/>
    <w:uiPriority w:val="39"/>
    <w:pPr>
      <w:spacing w:line="360" w:lineRule="auto"/>
    </w:pPr>
    <w:rPr>
      <w:rFonts w:cstheme="minorBidi"/>
    </w:rPr>
  </w:style>
  <w:style w:type="paragraph" w:styleId="25">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rPr>
  </w:style>
  <w:style w:type="paragraph" w:styleId="26">
    <w:name w:val="Subtitle"/>
    <w:basedOn w:val="1"/>
    <w:next w:val="1"/>
    <w:qFormat/>
    <w:uiPriority w:val="11"/>
    <w:pPr>
      <w:adjustRightInd w:val="0"/>
      <w:snapToGrid w:val="0"/>
      <w:spacing w:before="50" w:beforeLines="50" w:after="50" w:afterLines="50" w:line="240" w:lineRule="auto"/>
      <w:outlineLvl w:val="3"/>
    </w:pPr>
    <w:rPr>
      <w:rFonts w:eastAsia="黑体" w:cstheme="majorBidi"/>
      <w:bCs/>
      <w:kern w:val="28"/>
      <w:szCs w:val="32"/>
    </w:rPr>
  </w:style>
  <w:style w:type="paragraph" w:styleId="27">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rPr>
  </w:style>
  <w:style w:type="paragraph" w:styleId="28">
    <w:name w:val="toc 2"/>
    <w:basedOn w:val="1"/>
    <w:next w:val="1"/>
    <w:unhideWhenUsed/>
    <w:qFormat/>
    <w:uiPriority w:val="39"/>
    <w:pPr>
      <w:spacing w:line="360" w:lineRule="auto"/>
      <w:ind w:left="420" w:leftChars="200"/>
    </w:pPr>
    <w:rPr>
      <w:rFonts w:cstheme="minorBidi"/>
    </w:rPr>
  </w:style>
  <w:style w:type="paragraph" w:styleId="29">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rPr>
  </w:style>
  <w:style w:type="paragraph" w:styleId="30">
    <w:name w:val="Normal (Web)"/>
    <w:basedOn w:val="1"/>
    <w:link w:val="76"/>
    <w:unhideWhenUsed/>
    <w:qFormat/>
    <w:uiPriority w:val="99"/>
    <w:pPr>
      <w:widowControl/>
      <w:spacing w:before="100" w:beforeAutospacing="1" w:after="100" w:afterAutospacing="1" w:line="360" w:lineRule="auto"/>
      <w:ind w:firstLine="0" w:firstLineChars="0"/>
      <w:jc w:val="left"/>
    </w:pPr>
    <w:rPr>
      <w:rFonts w:ascii="宋体" w:hAnsi="宋体" w:eastAsia="宋体" w:cs="宋体"/>
      <w:kern w:val="0"/>
      <w:szCs w:val="24"/>
    </w:rPr>
  </w:style>
  <w:style w:type="paragraph" w:styleId="31">
    <w:name w:val="Title"/>
    <w:basedOn w:val="1"/>
    <w:next w:val="1"/>
    <w:qFormat/>
    <w:uiPriority w:val="10"/>
    <w:pPr>
      <w:spacing w:before="120" w:after="120"/>
      <w:ind w:firstLine="0" w:firstLineChars="0"/>
      <w:outlineLvl w:val="2"/>
    </w:pPr>
    <w:rPr>
      <w:rFonts w:eastAsia="华文楷体" w:cstheme="majorBidi"/>
      <w:bCs/>
      <w:sz w:val="28"/>
      <w:szCs w:val="32"/>
    </w:rPr>
  </w:style>
  <w:style w:type="paragraph" w:styleId="32">
    <w:name w:val="annotation subject"/>
    <w:basedOn w:val="12"/>
    <w:next w:val="12"/>
    <w:link w:val="63"/>
    <w:unhideWhenUsed/>
    <w:qFormat/>
    <w:uiPriority w:val="99"/>
    <w:rPr>
      <w:b/>
      <w:bCs/>
    </w:rPr>
  </w:style>
  <w:style w:type="paragraph" w:styleId="33">
    <w:name w:val="Body Text First Indent"/>
    <w:basedOn w:val="13"/>
    <w:next w:val="1"/>
    <w:qFormat/>
    <w:uiPriority w:val="0"/>
    <w:pPr>
      <w:ind w:firstLine="420" w:firstLineChars="100"/>
    </w:pPr>
  </w:style>
  <w:style w:type="paragraph" w:styleId="34">
    <w:name w:val="Body Text First Indent 2"/>
    <w:basedOn w:val="14"/>
    <w:next w:val="1"/>
    <w:qFormat/>
    <w:uiPriority w:val="0"/>
    <w:pPr>
      <w:ind w:firstLine="420" w:firstLineChars="200"/>
    </w:p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bCs/>
    </w:rPr>
  </w:style>
  <w:style w:type="character" w:styleId="39">
    <w:name w:val="Hyperlink"/>
    <w:basedOn w:val="37"/>
    <w:unhideWhenUsed/>
    <w:qFormat/>
    <w:uiPriority w:val="99"/>
    <w:rPr>
      <w:color w:val="0000FF" w:themeColor="hyperlink"/>
      <w:u w:val="single"/>
      <w14:textFill>
        <w14:solidFill>
          <w14:schemeClr w14:val="hlink"/>
        </w14:solidFill>
      </w14:textFill>
    </w:rPr>
  </w:style>
  <w:style w:type="character" w:styleId="40">
    <w:name w:val="annotation reference"/>
    <w:basedOn w:val="37"/>
    <w:unhideWhenUsed/>
    <w:qFormat/>
    <w:uiPriority w:val="99"/>
    <w:rPr>
      <w:sz w:val="21"/>
      <w:szCs w:val="21"/>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标题 4 Char"/>
    <w:link w:val="6"/>
    <w:qFormat/>
    <w:uiPriority w:val="9"/>
    <w:rPr>
      <w:rFonts w:ascii="Times New Roman" w:hAnsi="Times New Roman" w:eastAsia="宋体" w:cs="Times New Roman"/>
      <w:bCs/>
      <w:sz w:val="28"/>
      <w:szCs w:val="28"/>
    </w:rPr>
  </w:style>
  <w:style w:type="character" w:customStyle="1" w:styleId="43">
    <w:name w:val="标题 3 Char"/>
    <w:link w:val="5"/>
    <w:qFormat/>
    <w:uiPriority w:val="9"/>
    <w:rPr>
      <w:rFonts w:ascii="Times New Roman" w:hAnsi="Times New Roman" w:eastAsia="楷体"/>
      <w:bCs/>
      <w:sz w:val="32"/>
      <w:szCs w:val="32"/>
    </w:rPr>
  </w:style>
  <w:style w:type="character" w:customStyle="1" w:styleId="44">
    <w:name w:val="标题 2 Char"/>
    <w:link w:val="4"/>
    <w:qFormat/>
    <w:uiPriority w:val="9"/>
    <w:rPr>
      <w:rFonts w:ascii="Times New Roman" w:hAnsi="Times New Roman" w:eastAsia="黑体" w:cs="Times New Roman"/>
      <w:bCs/>
      <w:sz w:val="32"/>
      <w:szCs w:val="32"/>
    </w:rPr>
  </w:style>
  <w:style w:type="character" w:customStyle="1" w:styleId="45">
    <w:name w:val="fontstyle21"/>
    <w:qFormat/>
    <w:uiPriority w:val="0"/>
    <w:rPr>
      <w:rFonts w:hint="default" w:ascii="TimesNewRomanPSMT" w:hAnsi="TimesNewRomanPSMT"/>
      <w:color w:val="000000"/>
      <w:sz w:val="22"/>
      <w:szCs w:val="22"/>
    </w:rPr>
  </w:style>
  <w:style w:type="character" w:customStyle="1" w:styleId="46">
    <w:name w:val="标题 1 Char"/>
    <w:link w:val="3"/>
    <w:qFormat/>
    <w:uiPriority w:val="9"/>
    <w:rPr>
      <w:rFonts w:ascii="Times New Roman" w:hAnsi="Times New Roman" w:eastAsia="宋体"/>
      <w:bCs/>
      <w:kern w:val="44"/>
      <w:sz w:val="44"/>
      <w:szCs w:val="44"/>
    </w:rPr>
  </w:style>
  <w:style w:type="character" w:customStyle="1" w:styleId="47">
    <w:name w:val="fontstyle01"/>
    <w:qFormat/>
    <w:uiPriority w:val="0"/>
    <w:rPr>
      <w:rFonts w:hint="eastAsia" w:ascii="宋体" w:hAnsi="宋体" w:eastAsia="宋体"/>
      <w:color w:val="000000"/>
      <w:sz w:val="22"/>
      <w:szCs w:val="22"/>
    </w:rPr>
  </w:style>
  <w:style w:type="character" w:customStyle="1" w:styleId="48">
    <w:name w:val="页眉 Char"/>
    <w:link w:val="23"/>
    <w:qFormat/>
    <w:uiPriority w:val="99"/>
    <w:rPr>
      <w:rFonts w:ascii="Times New Roman" w:hAnsi="Times New Roman" w:eastAsia="仿宋"/>
      <w:sz w:val="18"/>
      <w:szCs w:val="18"/>
    </w:rPr>
  </w:style>
  <w:style w:type="character" w:customStyle="1" w:styleId="49">
    <w:name w:val="页脚 Char"/>
    <w:link w:val="22"/>
    <w:qFormat/>
    <w:uiPriority w:val="99"/>
    <w:rPr>
      <w:rFonts w:ascii="Times New Roman" w:hAnsi="Times New Roman" w:eastAsia="仿宋"/>
      <w:sz w:val="18"/>
      <w:szCs w:val="18"/>
    </w:rPr>
  </w:style>
  <w:style w:type="character" w:customStyle="1" w:styleId="50">
    <w:name w:val="批注框文本 Char"/>
    <w:link w:val="21"/>
    <w:semiHidden/>
    <w:qFormat/>
    <w:uiPriority w:val="99"/>
    <w:rPr>
      <w:rFonts w:ascii="Times New Roman" w:hAnsi="Times New Roman" w:eastAsia="仿宋"/>
      <w:sz w:val="18"/>
      <w:szCs w:val="18"/>
    </w:rPr>
  </w:style>
  <w:style w:type="paragraph" w:customStyle="1" w:styleId="51">
    <w:name w:val="表头"/>
    <w:basedOn w:val="1"/>
    <w:next w:val="1"/>
    <w:qFormat/>
    <w:uiPriority w:val="0"/>
    <w:pPr>
      <w:ind w:firstLine="0" w:firstLineChars="0"/>
      <w:jc w:val="center"/>
    </w:pPr>
    <w:rPr>
      <w:rFonts w:eastAsia="黑体"/>
    </w:rPr>
  </w:style>
  <w:style w:type="paragraph" w:customStyle="1" w:styleId="52">
    <w:name w:val="表内容"/>
    <w:basedOn w:val="1"/>
    <w:next w:val="1"/>
    <w:qFormat/>
    <w:uiPriority w:val="0"/>
    <w:pPr>
      <w:spacing w:line="0" w:lineRule="atLeast"/>
      <w:ind w:firstLine="0" w:firstLineChars="0"/>
      <w:jc w:val="center"/>
    </w:pPr>
    <w:rPr>
      <w:rFonts w:eastAsia="宋体"/>
      <w:sz w:val="21"/>
    </w:rPr>
  </w:style>
  <w:style w:type="table" w:customStyle="1" w:styleId="53">
    <w:name w:val="网格型13"/>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style11"/>
    <w:basedOn w:val="37"/>
    <w:qFormat/>
    <w:uiPriority w:val="0"/>
    <w:rPr>
      <w:rFonts w:hint="default" w:ascii="TimesNewRomanPSMT" w:hAnsi="TimesNewRomanPSMT"/>
      <w:color w:val="000000"/>
      <w:sz w:val="22"/>
      <w:szCs w:val="22"/>
    </w:rPr>
  </w:style>
  <w:style w:type="character" w:customStyle="1" w:styleId="55">
    <w:name w:val="Placeholder Text"/>
    <w:basedOn w:val="37"/>
    <w:unhideWhenUsed/>
    <w:qFormat/>
    <w:uiPriority w:val="99"/>
    <w:rPr>
      <w:color w:val="808080"/>
    </w:rPr>
  </w:style>
  <w:style w:type="paragraph" w:customStyle="1" w:styleId="56">
    <w:name w:val="Char1 Char Char Char Char Char Char Char Char"/>
    <w:basedOn w:val="1"/>
    <w:qFormat/>
    <w:uiPriority w:val="0"/>
    <w:pPr>
      <w:spacing w:line="360" w:lineRule="auto"/>
    </w:pPr>
    <w:rPr>
      <w:rFonts w:eastAsia="宋体"/>
      <w:sz w:val="21"/>
      <w:szCs w:val="20"/>
    </w:rPr>
  </w:style>
  <w:style w:type="table" w:customStyle="1" w:styleId="57">
    <w:name w:val="网格型1"/>
    <w:basedOn w:val="35"/>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11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1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1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14"/>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2">
    <w:name w:val="批注文字 Char"/>
    <w:basedOn w:val="37"/>
    <w:link w:val="12"/>
    <w:semiHidden/>
    <w:qFormat/>
    <w:uiPriority w:val="99"/>
    <w:rPr>
      <w:rFonts w:eastAsia="仿宋"/>
      <w:kern w:val="2"/>
      <w:sz w:val="24"/>
      <w:szCs w:val="22"/>
    </w:rPr>
  </w:style>
  <w:style w:type="character" w:customStyle="1" w:styleId="63">
    <w:name w:val="批注主题 Char"/>
    <w:basedOn w:val="62"/>
    <w:link w:val="32"/>
    <w:semiHidden/>
    <w:qFormat/>
    <w:uiPriority w:val="99"/>
    <w:rPr>
      <w:rFonts w:eastAsia="仿宋"/>
      <w:b/>
      <w:bCs/>
      <w:kern w:val="2"/>
      <w:sz w:val="24"/>
      <w:szCs w:val="22"/>
    </w:rPr>
  </w:style>
  <w:style w:type="character" w:customStyle="1" w:styleId="64">
    <w:name w:val="日期 Char"/>
    <w:basedOn w:val="37"/>
    <w:link w:val="19"/>
    <w:semiHidden/>
    <w:qFormat/>
    <w:uiPriority w:val="99"/>
    <w:rPr>
      <w:rFonts w:eastAsia="仿宋"/>
      <w:kern w:val="2"/>
      <w:sz w:val="24"/>
      <w:szCs w:val="22"/>
    </w:rPr>
  </w:style>
  <w:style w:type="table" w:customStyle="1" w:styleId="65">
    <w:name w:val="网格型5"/>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6"/>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4"/>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fontstyle31"/>
    <w:basedOn w:val="37"/>
    <w:qFormat/>
    <w:uiPriority w:val="0"/>
    <w:rPr>
      <w:rFonts w:hint="default" w:ascii="TimesNewRomanPSMT" w:hAnsi="TimesNewRomanPSMT"/>
      <w:color w:val="000000"/>
      <w:sz w:val="24"/>
      <w:szCs w:val="24"/>
    </w:rPr>
  </w:style>
  <w:style w:type="character" w:customStyle="1" w:styleId="69">
    <w:name w:val="fontstyle41"/>
    <w:basedOn w:val="37"/>
    <w:qFormat/>
    <w:uiPriority w:val="0"/>
    <w:rPr>
      <w:rFonts w:hint="default" w:ascii="Calibri" w:hAnsi="Calibri" w:cs="Calibri"/>
      <w:color w:val="000000"/>
      <w:sz w:val="22"/>
      <w:szCs w:val="22"/>
    </w:rPr>
  </w:style>
  <w:style w:type="table" w:customStyle="1" w:styleId="70">
    <w:name w:val="网格型15"/>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标题 5 Char"/>
    <w:basedOn w:val="37"/>
    <w:link w:val="7"/>
    <w:qFormat/>
    <w:uiPriority w:val="9"/>
    <w:rPr>
      <w:rFonts w:eastAsia="仿宋"/>
      <w:b/>
      <w:bCs/>
      <w:kern w:val="2"/>
      <w:sz w:val="28"/>
      <w:szCs w:val="28"/>
    </w:rPr>
  </w:style>
  <w:style w:type="character" w:customStyle="1" w:styleId="72">
    <w:name w:val="文档结构图 Char"/>
    <w:basedOn w:val="37"/>
    <w:link w:val="11"/>
    <w:semiHidden/>
    <w:qFormat/>
    <w:uiPriority w:val="99"/>
    <w:rPr>
      <w:rFonts w:ascii="宋体" w:cstheme="minorBidi"/>
      <w:kern w:val="2"/>
      <w:sz w:val="18"/>
      <w:szCs w:val="18"/>
    </w:rPr>
  </w:style>
  <w:style w:type="character" w:customStyle="1" w:styleId="73">
    <w:name w:val="正文文本 Char"/>
    <w:basedOn w:val="37"/>
    <w:link w:val="13"/>
    <w:semiHidden/>
    <w:qFormat/>
    <w:uiPriority w:val="99"/>
    <w:rPr>
      <w:rFonts w:eastAsia="仿宋" w:cstheme="minorBidi"/>
      <w:kern w:val="2"/>
      <w:sz w:val="24"/>
      <w:szCs w:val="22"/>
    </w:rPr>
  </w:style>
  <w:style w:type="character" w:customStyle="1" w:styleId="74">
    <w:name w:val="正文文本缩进 Char"/>
    <w:basedOn w:val="37"/>
    <w:link w:val="14"/>
    <w:semiHidden/>
    <w:qFormat/>
    <w:uiPriority w:val="99"/>
    <w:rPr>
      <w:rFonts w:eastAsia="仿宋" w:cstheme="minorBidi"/>
      <w:kern w:val="2"/>
      <w:sz w:val="24"/>
      <w:szCs w:val="22"/>
    </w:rPr>
  </w:style>
  <w:style w:type="table" w:customStyle="1" w:styleId="75">
    <w:name w:val="网格型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6">
    <w:name w:val="普通(网站) Char"/>
    <w:basedOn w:val="37"/>
    <w:link w:val="30"/>
    <w:qFormat/>
    <w:uiPriority w:val="99"/>
    <w:rPr>
      <w:rFonts w:ascii="宋体" w:hAnsi="宋体" w:cs="宋体"/>
      <w:sz w:val="24"/>
      <w:szCs w:val="24"/>
    </w:rPr>
  </w:style>
  <w:style w:type="paragraph" w:customStyle="1" w:styleId="77">
    <w:name w:val="No Spacing"/>
    <w:basedOn w:val="51"/>
    <w:qFormat/>
    <w:uiPriority w:val="1"/>
    <w:pPr>
      <w:spacing w:beforeLines="50" w:afterLines="50" w:line="360" w:lineRule="auto"/>
    </w:pPr>
    <w:rPr>
      <w:rFonts w:cstheme="minorBidi"/>
    </w:rPr>
  </w:style>
  <w:style w:type="table" w:customStyle="1" w:styleId="78">
    <w:name w:val="网格型16"/>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样式6"/>
    <w:basedOn w:val="35"/>
    <w:qFormat/>
    <w:uiPriority w:val="99"/>
    <w:rPr>
      <w:rFonts w:asciiTheme="minorHAnsi" w:hAnsiTheme="minorHAnsi" w:eastAsiaTheme="minorEastAsia" w:cstheme="minorBidi"/>
    </w:rPr>
    <w:tblPr>
      <w:tblBorders>
        <w:top w:val="single" w:color="auto" w:sz="12" w:space="0"/>
        <w:bottom w:val="single" w:color="auto" w:sz="12" w:space="0"/>
        <w:insideH w:val="single" w:color="auto" w:sz="4" w:space="0"/>
        <w:insideV w:val="single" w:color="auto" w:sz="4" w:space="0"/>
      </w:tblBorders>
    </w:tblPr>
  </w:style>
  <w:style w:type="table" w:customStyle="1" w:styleId="80">
    <w:name w:val="样式61"/>
    <w:basedOn w:val="35"/>
    <w:qFormat/>
    <w:uiPriority w:val="99"/>
    <w:rPr>
      <w:rFonts w:asciiTheme="minorHAnsi" w:hAnsiTheme="minorHAnsi" w:eastAsiaTheme="minorEastAsia" w:cstheme="minorBidi"/>
    </w:rPr>
    <w:tblPr>
      <w:tblBorders>
        <w:top w:val="single" w:color="auto" w:sz="12" w:space="0"/>
        <w:bottom w:val="single" w:color="auto" w:sz="12" w:space="0"/>
        <w:insideH w:val="single" w:color="auto" w:sz="4" w:space="0"/>
        <w:insideV w:val="single" w:color="auto" w:sz="4" w:space="0"/>
      </w:tblBorders>
    </w:tblPr>
  </w:style>
  <w:style w:type="table" w:customStyle="1" w:styleId="81">
    <w:name w:val="无格式表格 21"/>
    <w:basedOn w:val="35"/>
    <w:qFormat/>
    <w:uiPriority w:val="42"/>
    <w:rPr>
      <w:rFonts w:asciiTheme="minorHAnsi" w:hAnsiTheme="minorHAnsi" w:eastAsiaTheme="minorEastAsia" w:cstheme="minorBidi"/>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82">
    <w:name w:val="网格型11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3"/>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4">
    <w:name w:val="正文样式1 Char1"/>
    <w:basedOn w:val="37"/>
    <w:link w:val="85"/>
    <w:qFormat/>
    <w:uiPriority w:val="0"/>
    <w:rPr>
      <w:sz w:val="24"/>
      <w:szCs w:val="24"/>
      <w:lang w:val="zh-CN"/>
    </w:rPr>
  </w:style>
  <w:style w:type="paragraph" w:customStyle="1" w:styleId="85">
    <w:name w:val="正文样式1"/>
    <w:basedOn w:val="1"/>
    <w:link w:val="84"/>
    <w:qFormat/>
    <w:uiPriority w:val="0"/>
    <w:pPr>
      <w:topLinePunct/>
      <w:spacing w:line="360" w:lineRule="auto"/>
    </w:pPr>
    <w:rPr>
      <w:rFonts w:eastAsia="宋体"/>
      <w:kern w:val="0"/>
      <w:szCs w:val="24"/>
      <w:lang w:val="zh-CN"/>
    </w:rPr>
  </w:style>
  <w:style w:type="table" w:customStyle="1" w:styleId="86">
    <w:name w:val="网格型12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7">
    <w:name w:val="li 2"/>
    <w:basedOn w:val="3"/>
    <w:next w:val="3"/>
    <w:link w:val="88"/>
    <w:qFormat/>
    <w:uiPriority w:val="0"/>
    <w:pPr>
      <w:spacing w:before="60" w:after="60" w:line="240" w:lineRule="auto"/>
      <w:jc w:val="both"/>
      <w:outlineLvl w:val="1"/>
    </w:pPr>
    <w:rPr>
      <w:rFonts w:eastAsia="黑体"/>
      <w:b/>
      <w:sz w:val="30"/>
      <w:szCs w:val="30"/>
    </w:rPr>
  </w:style>
  <w:style w:type="character" w:customStyle="1" w:styleId="88">
    <w:name w:val="li 2 Char"/>
    <w:basedOn w:val="37"/>
    <w:link w:val="87"/>
    <w:qFormat/>
    <w:uiPriority w:val="0"/>
    <w:rPr>
      <w:rFonts w:eastAsia="黑体"/>
      <w:b/>
      <w:bCs/>
      <w:kern w:val="44"/>
      <w:sz w:val="30"/>
      <w:szCs w:val="30"/>
    </w:rPr>
  </w:style>
  <w:style w:type="paragraph" w:customStyle="1" w:styleId="89">
    <w:name w:val="List Paragraph"/>
    <w:basedOn w:val="1"/>
    <w:qFormat/>
    <w:uiPriority w:val="34"/>
    <w:pPr>
      <w:spacing w:line="360" w:lineRule="auto"/>
      <w:ind w:firstLine="420"/>
    </w:pPr>
    <w:rPr>
      <w:rFonts w:cstheme="minorBidi"/>
    </w:rPr>
  </w:style>
  <w:style w:type="table" w:customStyle="1" w:styleId="90">
    <w:name w:val="网格型13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
      <w:color w:val="376092" w:themeColor="accent1" w:themeShade="BF"/>
      <w:kern w:val="0"/>
      <w:sz w:val="28"/>
      <w:szCs w:val="28"/>
    </w:rPr>
  </w:style>
  <w:style w:type="table" w:customStyle="1" w:styleId="92">
    <w:name w:val="网格型4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无格式表格 211"/>
    <w:basedOn w:val="35"/>
    <w:qFormat/>
    <w:uiPriority w:val="42"/>
    <w:rPr>
      <w:rFonts w:asciiTheme="minorHAnsi" w:hAnsiTheme="minorHAnsi" w:eastAsiaTheme="minorEastAsia" w:cstheme="minorBidi"/>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94">
    <w:name w:val="无格式表格 212"/>
    <w:basedOn w:val="35"/>
    <w:qFormat/>
    <w:uiPriority w:val="42"/>
    <w:rPr>
      <w:rFonts w:asciiTheme="minorHAnsi" w:hAnsiTheme="minorHAnsi" w:eastAsiaTheme="minorEastAsia" w:cstheme="minorBidi"/>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95">
    <w:name w:val="网格型5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6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7"/>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8"/>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14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112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113"/>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9"/>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3">
    <w:name w:val="未处理的提及1"/>
    <w:basedOn w:val="37"/>
    <w:unhideWhenUsed/>
    <w:qFormat/>
    <w:uiPriority w:val="99"/>
    <w:rPr>
      <w:color w:val="605E5C"/>
      <w:shd w:val="clear" w:color="auto" w:fill="E1DFDD"/>
    </w:rPr>
  </w:style>
  <w:style w:type="table" w:customStyle="1" w:styleId="104">
    <w:name w:val="网格型10"/>
    <w:basedOn w:val="35"/>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
    <w:name w:val="网格型151"/>
    <w:basedOn w:val="35"/>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
    <w:name w:val="bigger"/>
    <w:basedOn w:val="37"/>
    <w:qFormat/>
    <w:uiPriority w:val="0"/>
  </w:style>
  <w:style w:type="character" w:customStyle="1" w:styleId="107">
    <w:name w:val="smaller"/>
    <w:basedOn w:val="37"/>
    <w:qFormat/>
    <w:uiPriority w:val="0"/>
  </w:style>
  <w:style w:type="table" w:customStyle="1" w:styleId="108">
    <w:name w:val="网格型161"/>
    <w:basedOn w:val="35"/>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9">
    <w:name w:val="font11"/>
    <w:basedOn w:val="37"/>
    <w:qFormat/>
    <w:uiPriority w:val="0"/>
    <w:rPr>
      <w:rFonts w:hint="eastAsia" w:ascii="宋体" w:hAnsi="宋体" w:eastAsia="宋体"/>
      <w:color w:val="000000"/>
      <w:sz w:val="21"/>
      <w:szCs w:val="21"/>
      <w:u w:val="none"/>
    </w:rPr>
  </w:style>
  <w:style w:type="character" w:customStyle="1" w:styleId="110">
    <w:name w:val="font41"/>
    <w:basedOn w:val="37"/>
    <w:qFormat/>
    <w:uiPriority w:val="0"/>
    <w:rPr>
      <w:rFonts w:hint="eastAsia" w:ascii="宋体" w:hAnsi="宋体" w:eastAsia="宋体"/>
      <w:color w:val="000000"/>
      <w:sz w:val="22"/>
      <w:szCs w:val="22"/>
      <w:u w:val="none"/>
    </w:rPr>
  </w:style>
  <w:style w:type="character" w:customStyle="1" w:styleId="111">
    <w:name w:val="font51"/>
    <w:basedOn w:val="37"/>
    <w:qFormat/>
    <w:uiPriority w:val="0"/>
    <w:rPr>
      <w:rFonts w:hint="default" w:ascii="Times New Roman" w:hAnsi="Times New Roman" w:cs="Times New Roman"/>
      <w:color w:val="000000"/>
      <w:sz w:val="22"/>
      <w:szCs w:val="22"/>
      <w:u w:val="none"/>
    </w:rPr>
  </w:style>
  <w:style w:type="character" w:customStyle="1" w:styleId="112">
    <w:name w:val="font21"/>
    <w:basedOn w:val="37"/>
    <w:qFormat/>
    <w:uiPriority w:val="0"/>
    <w:rPr>
      <w:rFonts w:hint="eastAsia" w:ascii="宋体" w:hAnsi="宋体" w:eastAsia="宋体"/>
      <w:color w:val="000000"/>
      <w:sz w:val="22"/>
      <w:szCs w:val="22"/>
      <w:u w:val="none"/>
    </w:rPr>
  </w:style>
  <w:style w:type="character" w:customStyle="1" w:styleId="113">
    <w:name w:val="font31"/>
    <w:basedOn w:val="37"/>
    <w:qFormat/>
    <w:uiPriority w:val="0"/>
    <w:rPr>
      <w:rFonts w:hint="default" w:ascii="Times New Roman" w:hAnsi="Times New Roman" w:cs="Times New Roman"/>
      <w:color w:val="000000"/>
      <w:sz w:val="22"/>
      <w:szCs w:val="22"/>
      <w:u w:val="none"/>
    </w:rPr>
  </w:style>
  <w:style w:type="table" w:customStyle="1" w:styleId="114">
    <w:name w:val="网格型17"/>
    <w:basedOn w:val="35"/>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14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
      <w:color w:val="376092" w:themeColor="accent1" w:themeShade="BF"/>
      <w:kern w:val="0"/>
      <w:sz w:val="28"/>
      <w:szCs w:val="28"/>
    </w:rPr>
  </w:style>
  <w:style w:type="paragraph" w:customStyle="1" w:styleId="117">
    <w:name w:val="_Style 10"/>
    <w:basedOn w:val="1"/>
    <w:next w:val="1"/>
    <w:qFormat/>
    <w:uiPriority w:val="0"/>
    <w:pPr>
      <w:spacing w:line="360" w:lineRule="auto"/>
    </w:pPr>
    <w:rPr>
      <w:rFonts w:eastAsia="Times New Roman"/>
      <w:color w:val="000000"/>
      <w:kern w:val="0"/>
      <w:sz w:val="20"/>
      <w:szCs w:val="20"/>
      <w:u w:color="000000"/>
    </w:rPr>
  </w:style>
  <w:style w:type="paragraph" w:customStyle="1" w:styleId="118">
    <w:name w:val="Table Paragraph"/>
    <w:basedOn w:val="1"/>
    <w:qFormat/>
    <w:uiPriority w:val="1"/>
  </w:style>
  <w:style w:type="paragraph" w:customStyle="1" w:styleId="119">
    <w:name w:val="小四表文左齐"/>
    <w:basedOn w:val="1"/>
    <w:qFormat/>
    <w:uiPriority w:val="0"/>
    <w:pPr>
      <w:widowControl w:val="0"/>
      <w:adjustRightInd/>
      <w:snapToGrid/>
      <w:spacing w:after="0" w:line="360" w:lineRule="auto"/>
      <w:ind w:firstLine="538" w:firstLineChars="192"/>
      <w:jc w:val="both"/>
    </w:pPr>
    <w:rPr>
      <w:rFonts w:ascii="宋体" w:hAnsi="宋体" w:eastAsia="宋体"/>
      <w:bCs/>
      <w:sz w:val="28"/>
      <w:szCs w:val="28"/>
    </w:rPr>
  </w:style>
  <w:style w:type="paragraph" w:customStyle="1" w:styleId="120">
    <w:name w:val="正文小四"/>
    <w:basedOn w:val="1"/>
    <w:qFormat/>
    <w:uiPriority w:val="0"/>
    <w:pPr>
      <w:adjustRightInd/>
      <w:snapToGrid/>
      <w:spacing w:after="0" w:line="360" w:lineRule="auto"/>
      <w:ind w:firstLine="200" w:firstLineChars="200"/>
    </w:pPr>
    <w:rPr>
      <w:rFonts w:ascii="Times New Roman" w:hAnsi="Times New Roman" w:eastAsia="宋体"/>
      <w:color w:val="000000"/>
      <w:sz w:val="24"/>
      <w:szCs w:val="24"/>
    </w:rPr>
  </w:style>
  <w:style w:type="paragraph" w:customStyle="1" w:styleId="121">
    <w:name w:val="表格内容"/>
    <w:basedOn w:val="1"/>
    <w:qFormat/>
    <w:uiPriority w:val="0"/>
    <w:pPr>
      <w:adjustRightInd w:val="0"/>
      <w:snapToGrid w:val="0"/>
      <w:spacing w:line="240" w:lineRule="auto"/>
      <w:ind w:firstLine="0" w:firstLineChars="0"/>
      <w:jc w:val="center"/>
    </w:pPr>
    <w:rPr>
      <w:sz w:val="21"/>
    </w:rPr>
  </w:style>
  <w:style w:type="character" w:customStyle="1" w:styleId="122">
    <w:name w:val="表头 Char2"/>
    <w:qFormat/>
    <w:uiPriority w:val="0"/>
    <w:rPr>
      <w:rFonts w:eastAsia="宋体"/>
      <w:b/>
      <w:kern w:val="36"/>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3.jpeg"/><Relationship Id="rId7" Type="http://schemas.openxmlformats.org/officeDocument/2006/relationships/header" Target="header3.xml"/><Relationship Id="rId69" Type="http://schemas.openxmlformats.org/officeDocument/2006/relationships/image" Target="media/image32.wmf"/><Relationship Id="rId68" Type="http://schemas.openxmlformats.org/officeDocument/2006/relationships/oleObject" Target="embeddings/oleObject10.bin"/><Relationship Id="rId67" Type="http://schemas.openxmlformats.org/officeDocument/2006/relationships/image" Target="media/image31.wmf"/><Relationship Id="rId66" Type="http://schemas.openxmlformats.org/officeDocument/2006/relationships/oleObject" Target="embeddings/oleObject9.bin"/><Relationship Id="rId65" Type="http://schemas.openxmlformats.org/officeDocument/2006/relationships/image" Target="media/image30.wmf"/><Relationship Id="rId64" Type="http://schemas.openxmlformats.org/officeDocument/2006/relationships/oleObject" Target="embeddings/oleObject8.bin"/><Relationship Id="rId63" Type="http://schemas.openxmlformats.org/officeDocument/2006/relationships/image" Target="media/image29.wmf"/><Relationship Id="rId62" Type="http://schemas.openxmlformats.org/officeDocument/2006/relationships/oleObject" Target="embeddings/oleObject7.bin"/><Relationship Id="rId61" Type="http://schemas.openxmlformats.org/officeDocument/2006/relationships/image" Target="media/image28.wmf"/><Relationship Id="rId60" Type="http://schemas.openxmlformats.org/officeDocument/2006/relationships/oleObject" Target="embeddings/oleObject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5.bin"/><Relationship Id="rId57" Type="http://schemas.openxmlformats.org/officeDocument/2006/relationships/image" Target="media/image26.wmf"/><Relationship Id="rId56" Type="http://schemas.openxmlformats.org/officeDocument/2006/relationships/oleObject" Target="embeddings/oleObject4.bin"/><Relationship Id="rId55" Type="http://schemas.openxmlformats.org/officeDocument/2006/relationships/image" Target="media/image25.wmf"/><Relationship Id="rId54" Type="http://schemas.openxmlformats.org/officeDocument/2006/relationships/oleObject" Target="embeddings/oleObject3.bin"/><Relationship Id="rId53" Type="http://schemas.openxmlformats.org/officeDocument/2006/relationships/image" Target="media/image24.wmf"/><Relationship Id="rId52" Type="http://schemas.openxmlformats.org/officeDocument/2006/relationships/oleObject" Target="embeddings/oleObject2.bin"/><Relationship Id="rId51" Type="http://schemas.openxmlformats.org/officeDocument/2006/relationships/image" Target="media/image23.wmf"/><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image" Target="media/image21.wmf"/><Relationship Id="rId48" Type="http://schemas.openxmlformats.org/officeDocument/2006/relationships/image" Target="media/image20.wmf"/><Relationship Id="rId47" Type="http://schemas.openxmlformats.org/officeDocument/2006/relationships/image" Target="media/image19.wmf"/><Relationship Id="rId46" Type="http://schemas.openxmlformats.org/officeDocument/2006/relationships/image" Target="media/image18.emf"/><Relationship Id="rId45" Type="http://schemas.openxmlformats.org/officeDocument/2006/relationships/image" Target="media/image17.wmf"/><Relationship Id="rId44" Type="http://schemas.openxmlformats.org/officeDocument/2006/relationships/oleObject" Target="embeddings/oleObject1.bin"/><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header" Target="header8.xml"/><Relationship Id="rId24" Type="http://schemas.openxmlformats.org/officeDocument/2006/relationships/footer" Target="footer13.xml"/><Relationship Id="rId23" Type="http://schemas.openxmlformats.org/officeDocument/2006/relationships/header" Target="header7.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186</Pages>
  <Words>17873</Words>
  <Characters>101880</Characters>
  <Lines>849</Lines>
  <Paragraphs>239</Paragraphs>
  <TotalTime>13</TotalTime>
  <ScaleCrop>false</ScaleCrop>
  <LinksUpToDate>false</LinksUpToDate>
  <CharactersWithSpaces>119514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2019-08-15T02:55:00Z</dcterms:created>
  <dc:creator>维华</dc:creator>
  <cp:lastModifiedBy>演示人</cp:lastModifiedBy>
  <cp:lastPrinted>2019-12-16T23:47:00Z</cp:lastPrinted>
  <dcterms:modified xsi:type="dcterms:W3CDTF">2023-10-16T01:00:54Z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0B8443C3E6B94E7CA8D9BE5C734C210E_13</vt:lpwstr>
  </property>
</Properties>
</file>