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黑体_GBK" w:hAnsi="华文中宋" w:eastAsia="方正黑体_GBK" w:cs="华文中宋"/>
          <w:sz w:val="24"/>
          <w:szCs w:val="24"/>
        </w:rPr>
      </w:pPr>
      <w:bookmarkStart w:id="0" w:name="_GoBack"/>
      <w:bookmarkEnd w:id="0"/>
      <w:r>
        <w:rPr>
          <w:rFonts w:hint="eastAsia" w:ascii="方正黑体_GBK" w:hAnsi="华文中宋" w:eastAsia="方正黑体_GBK" w:cs="华文中宋"/>
          <w:sz w:val="44"/>
          <w:szCs w:val="44"/>
        </w:rPr>
        <w:t>内蒙古自治区</w:t>
      </w:r>
      <w:r>
        <w:rPr>
          <w:rFonts w:ascii="方正黑体_GBK" w:hAnsi="华文中宋" w:eastAsia="方正黑体_GBK" w:cs="华文中宋"/>
          <w:sz w:val="44"/>
          <w:szCs w:val="44"/>
        </w:rPr>
        <w:t>建设用地土壤污染风险管控和修复名录</w:t>
      </w:r>
    </w:p>
    <w:tbl>
      <w:tblPr>
        <w:tblStyle w:val="4"/>
        <w:tblpPr w:leftFromText="180" w:rightFromText="180" w:vertAnchor="text" w:horzAnchor="page" w:tblpXSpec="center" w:tblpY="909"/>
        <w:tblOverlap w:val="never"/>
        <w:tblW w:w="15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
        <w:gridCol w:w="847"/>
        <w:gridCol w:w="941"/>
        <w:gridCol w:w="616"/>
        <w:gridCol w:w="1017"/>
        <w:gridCol w:w="1648"/>
        <w:gridCol w:w="993"/>
        <w:gridCol w:w="1091"/>
        <w:gridCol w:w="1417"/>
        <w:gridCol w:w="2364"/>
        <w:gridCol w:w="850"/>
        <w:gridCol w:w="1418"/>
        <w:gridCol w:w="708"/>
        <w:gridCol w:w="373"/>
        <w:gridCol w:w="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00" w:type="dxa"/>
            <w:vMerge w:val="restart"/>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号</w:t>
            </w:r>
          </w:p>
        </w:tc>
        <w:tc>
          <w:tcPr>
            <w:tcW w:w="7972" w:type="dxa"/>
            <w:gridSpan w:val="8"/>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地块基本信息</w:t>
            </w:r>
          </w:p>
        </w:tc>
        <w:tc>
          <w:tcPr>
            <w:tcW w:w="6757" w:type="dxa"/>
            <w:gridSpan w:val="5"/>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风险管控或修复情况</w:t>
            </w:r>
          </w:p>
        </w:tc>
        <w:tc>
          <w:tcPr>
            <w:tcW w:w="373" w:type="dxa"/>
            <w:vMerge w:val="restart"/>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纳入日期</w:t>
            </w:r>
          </w:p>
        </w:tc>
        <w:tc>
          <w:tcPr>
            <w:tcW w:w="373" w:type="dxa"/>
            <w:vMerge w:val="restart"/>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500" w:type="dxa"/>
            <w:vMerge w:val="continue"/>
            <w:vAlign w:val="center"/>
          </w:tcPr>
          <w:p>
            <w:pPr>
              <w:jc w:val="center"/>
              <w:rPr>
                <w:rFonts w:ascii="宋体" w:hAnsi="宋体" w:eastAsia="宋体" w:cs="宋体"/>
                <w:color w:val="000000"/>
                <w:kern w:val="0"/>
                <w:sz w:val="20"/>
                <w:szCs w:val="20"/>
              </w:rPr>
            </w:pPr>
          </w:p>
        </w:tc>
        <w:tc>
          <w:tcPr>
            <w:tcW w:w="819" w:type="dxa"/>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地块</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编码</w:t>
            </w:r>
          </w:p>
        </w:tc>
        <w:tc>
          <w:tcPr>
            <w:tcW w:w="847" w:type="dxa"/>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地块</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w:t>
            </w:r>
          </w:p>
        </w:tc>
        <w:tc>
          <w:tcPr>
            <w:tcW w:w="941" w:type="dxa"/>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所在省、自治区</w:t>
            </w:r>
          </w:p>
        </w:tc>
        <w:tc>
          <w:tcPr>
            <w:tcW w:w="616"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所在市、区</w:t>
            </w:r>
          </w:p>
        </w:tc>
        <w:tc>
          <w:tcPr>
            <w:tcW w:w="1017" w:type="dxa"/>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详细</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地址</w:t>
            </w:r>
          </w:p>
        </w:tc>
        <w:tc>
          <w:tcPr>
            <w:tcW w:w="1648" w:type="dxa"/>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四至</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范围</w:t>
            </w:r>
          </w:p>
        </w:tc>
        <w:tc>
          <w:tcPr>
            <w:tcW w:w="993" w:type="dxa"/>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地块</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面积</w:t>
            </w:r>
          </w:p>
          <w:p>
            <w:pPr>
              <w:jc w:val="center"/>
              <w:rPr>
                <w:rFonts w:ascii="宋体" w:hAnsi="宋体" w:eastAsia="宋体" w:cs="宋体"/>
                <w:color w:val="000000"/>
                <w:kern w:val="0"/>
                <w:sz w:val="20"/>
                <w:szCs w:val="20"/>
              </w:rPr>
            </w:pPr>
            <w:r>
              <w:rPr>
                <w:rFonts w:hint="eastAsia" w:ascii="宋体" w:hAnsi="宋体" w:eastAsia="宋体" w:cs="黑体"/>
                <w:color w:val="000000"/>
                <w:kern w:val="0"/>
                <w:sz w:val="24"/>
                <w:szCs w:val="24"/>
              </w:rPr>
              <w:t>（m</w:t>
            </w:r>
            <w:r>
              <w:rPr>
                <w:rFonts w:hint="eastAsia" w:ascii="宋体" w:hAnsi="宋体" w:eastAsia="宋体" w:cs="黑体"/>
                <w:color w:val="000000"/>
                <w:kern w:val="0"/>
                <w:sz w:val="24"/>
                <w:szCs w:val="24"/>
                <w:vertAlign w:val="superscript"/>
              </w:rPr>
              <w:t>2</w:t>
            </w:r>
            <w:r>
              <w:rPr>
                <w:rFonts w:hint="eastAsia" w:ascii="宋体" w:hAnsi="宋体" w:eastAsia="宋体" w:cs="黑体"/>
                <w:color w:val="000000"/>
                <w:kern w:val="0"/>
                <w:sz w:val="24"/>
                <w:szCs w:val="24"/>
              </w:rPr>
              <w:t>）</w:t>
            </w:r>
          </w:p>
        </w:tc>
        <w:tc>
          <w:tcPr>
            <w:tcW w:w="1091" w:type="dxa"/>
            <w:shd w:val="clear" w:color="auto" w:fill="auto"/>
            <w:noWrap/>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土地</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使用权人</w:t>
            </w:r>
          </w:p>
        </w:tc>
        <w:tc>
          <w:tcPr>
            <w:tcW w:w="1417"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进展情况</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/所在阶段</w:t>
            </w:r>
          </w:p>
        </w:tc>
        <w:tc>
          <w:tcPr>
            <w:tcW w:w="2364"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风险管控</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或修复目标</w:t>
            </w:r>
          </w:p>
        </w:tc>
        <w:tc>
          <w:tcPr>
            <w:tcW w:w="850"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风险管控或修复方案编制单位</w:t>
            </w:r>
          </w:p>
        </w:tc>
        <w:tc>
          <w:tcPr>
            <w:tcW w:w="1418"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风险管控或修复单位</w:t>
            </w:r>
          </w:p>
        </w:tc>
        <w:tc>
          <w:tcPr>
            <w:tcW w:w="708"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风险管控或修复委托人</w:t>
            </w:r>
          </w:p>
        </w:tc>
        <w:tc>
          <w:tcPr>
            <w:tcW w:w="373" w:type="dxa"/>
            <w:vMerge w:val="continue"/>
            <w:vAlign w:val="center"/>
          </w:tcPr>
          <w:p>
            <w:pPr>
              <w:rPr>
                <w:rFonts w:ascii="宋体" w:hAnsi="宋体" w:eastAsia="宋体" w:cs="宋体"/>
                <w:color w:val="000000"/>
                <w:kern w:val="0"/>
                <w:sz w:val="20"/>
                <w:szCs w:val="20"/>
              </w:rPr>
            </w:pPr>
          </w:p>
        </w:tc>
        <w:tc>
          <w:tcPr>
            <w:tcW w:w="373" w:type="dxa"/>
            <w:vMerge w:val="continue"/>
            <w:vAlign w:val="center"/>
          </w:tcPr>
          <w:p>
            <w:pP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19" w:type="dxa"/>
            <w:vAlign w:val="center"/>
          </w:tcPr>
          <w:p>
            <w:pPr>
              <w:jc w:val="center"/>
              <w:rPr>
                <w:rFonts w:ascii="Times New Roman"/>
                <w:bCs/>
                <w:color w:val="000000" w:themeColor="text1"/>
                <w:kern w:val="0"/>
                <w:sz w:val="20"/>
                <w:szCs w:val="20"/>
              </w:rPr>
            </w:pPr>
            <w:r>
              <w:rPr>
                <w:rFonts w:ascii="Times New Roman"/>
                <w:bCs/>
                <w:color w:val="000000" w:themeColor="text1"/>
                <w:kern w:val="0"/>
                <w:sz w:val="20"/>
                <w:szCs w:val="20"/>
              </w:rPr>
              <w:t>1504282320002</w:t>
            </w:r>
          </w:p>
        </w:tc>
        <w:tc>
          <w:tcPr>
            <w:tcW w:w="847" w:type="dxa"/>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赤峰云铜有色金属有限公司原厂区地块</w:t>
            </w:r>
          </w:p>
        </w:tc>
        <w:tc>
          <w:tcPr>
            <w:tcW w:w="941"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w:t>
            </w:r>
          </w:p>
        </w:tc>
        <w:tc>
          <w:tcPr>
            <w:tcW w:w="616"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赤峰市喀喇沁旗</w:t>
            </w:r>
          </w:p>
        </w:tc>
        <w:tc>
          <w:tcPr>
            <w:tcW w:w="10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喀喇沁旗锦山镇工业园区赤峰云铜有色金属有限公司原厂区</w:t>
            </w:r>
          </w:p>
        </w:tc>
        <w:tc>
          <w:tcPr>
            <w:tcW w:w="164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北临山地，南侧为锦平公路，东临东岳金峰氟化工有限公司及山地，西侧为赤峰亚鼎铜业有限公司。</w:t>
            </w:r>
          </w:p>
        </w:tc>
        <w:tc>
          <w:tcPr>
            <w:tcW w:w="993"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1020000</w:t>
            </w:r>
          </w:p>
        </w:tc>
        <w:tc>
          <w:tcPr>
            <w:tcW w:w="1091"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2019年11月前归属赤峰云铜有色金属有限公司；2019年11月搬迁后，土地归喀喇沁旗人民政府</w:t>
            </w:r>
          </w:p>
        </w:tc>
        <w:tc>
          <w:tcPr>
            <w:tcW w:w="14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一期：厂区裸露地面土壤详调、风险评估、修复方案已完成，正在修建土壤阻隔填埋区，坝基底部已平整完成。即将开展二期厂房厂区土壤详细调查。</w:t>
            </w:r>
          </w:p>
        </w:tc>
        <w:tc>
          <w:tcPr>
            <w:tcW w:w="2364"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砷、铜、镍、铅的风险控制值选用《土壤环境质量 建设用地土壤污染风险管控标准（试行）》（GB36600-2018）规定的"第一类用地"、"第二类用地"筛选值浓度限值，作为裸露区域土壤修复的目标值。</w:t>
            </w:r>
          </w:p>
        </w:tc>
        <w:tc>
          <w:tcPr>
            <w:tcW w:w="850"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北京矿冶科技集团有限公司</w:t>
            </w:r>
          </w:p>
        </w:tc>
        <w:tc>
          <w:tcPr>
            <w:tcW w:w="1418"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天明环境修复有限公司</w:t>
            </w:r>
          </w:p>
        </w:tc>
        <w:tc>
          <w:tcPr>
            <w:tcW w:w="708"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喀喇沁旗自然资源局</w:t>
            </w:r>
          </w:p>
        </w:tc>
        <w:tc>
          <w:tcPr>
            <w:tcW w:w="373"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2020年1月</w:t>
            </w:r>
          </w:p>
        </w:tc>
        <w:tc>
          <w:tcPr>
            <w:tcW w:w="373" w:type="dxa"/>
            <w:shd w:val="clear" w:color="auto" w:fill="auto"/>
            <w:vAlign w:val="center"/>
          </w:tcPr>
          <w:p>
            <w:pPr>
              <w:jc w:val="center"/>
              <w:rPr>
                <w:rFonts w:ascii="宋体" w:hAnsi="宋体" w:eastAsia="宋体" w:cs="宋体"/>
                <w:color w:val="000000"/>
                <w:kern w:val="0"/>
                <w:sz w:val="20"/>
                <w:szCs w:val="20"/>
              </w:rPr>
            </w:pPr>
            <w:r>
              <w:rPr>
                <w:rFonts w:hint="eastAsia" w:ascii="Times New Roman" w:hAnsi="Times New Roman" w:eastAsia="宋体" w:cs="Times New Roman"/>
                <w:color w:val="000000"/>
                <w:sz w:val="20"/>
                <w:szCs w:val="20"/>
                <w:shd w:val="clear" w:color="auto" w:fill="FFFFFF"/>
              </w:rPr>
              <w:t>风险评估后</w:t>
            </w:r>
            <w:r>
              <w:rPr>
                <w:rFonts w:ascii="Times New Roman" w:hAnsi="Times New Roman" w:eastAsia="宋体" w:cs="Times New Roman"/>
                <w:color w:val="000000"/>
                <w:sz w:val="20"/>
                <w:szCs w:val="20"/>
                <w:shd w:val="clear" w:color="auto" w:fill="FFFFFF"/>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19" w:type="dxa"/>
            <w:vAlign w:val="center"/>
          </w:tcPr>
          <w:p>
            <w:pPr>
              <w:jc w:val="center"/>
              <w:rPr>
                <w:rFonts w:ascii="Times New Roman"/>
                <w:bCs/>
                <w:color w:val="000000" w:themeColor="text1"/>
                <w:kern w:val="0"/>
                <w:sz w:val="20"/>
                <w:szCs w:val="20"/>
              </w:rPr>
            </w:pPr>
            <w:r>
              <w:rPr>
                <w:rFonts w:ascii="Times New Roman"/>
                <w:bCs/>
                <w:color w:val="000000" w:themeColor="text1"/>
                <w:kern w:val="0"/>
                <w:sz w:val="20"/>
                <w:szCs w:val="20"/>
              </w:rPr>
              <w:t>1508223260002</w:t>
            </w:r>
          </w:p>
        </w:tc>
        <w:tc>
          <w:tcPr>
            <w:tcW w:w="847" w:type="dxa"/>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内蒙古黄河铬盐股份有限公司地块</w:t>
            </w:r>
          </w:p>
        </w:tc>
        <w:tc>
          <w:tcPr>
            <w:tcW w:w="941"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w:t>
            </w:r>
          </w:p>
        </w:tc>
        <w:tc>
          <w:tcPr>
            <w:tcW w:w="616"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巴彦淖尔市磴口县</w:t>
            </w:r>
          </w:p>
        </w:tc>
        <w:tc>
          <w:tcPr>
            <w:tcW w:w="10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磴口县巴彦高勒镇钢铁路16号</w:t>
            </w:r>
          </w:p>
        </w:tc>
        <w:tc>
          <w:tcPr>
            <w:tcW w:w="164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北侧为农田，南侧为农械加工厂，西侧隔路为住宅，东侧紧邻东风分干渠</w:t>
            </w:r>
          </w:p>
        </w:tc>
        <w:tc>
          <w:tcPr>
            <w:tcW w:w="993"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353500</w:t>
            </w:r>
          </w:p>
        </w:tc>
        <w:tc>
          <w:tcPr>
            <w:tcW w:w="1091"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内蒙古黄河铬盐股份有限公司</w:t>
            </w:r>
          </w:p>
        </w:tc>
        <w:tc>
          <w:tcPr>
            <w:tcW w:w="14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已完成土壤治理修复一期工程，土壤治理修复二期工程正在开展，后续土壤及地下水治理尚未开展</w:t>
            </w:r>
          </w:p>
        </w:tc>
        <w:tc>
          <w:tcPr>
            <w:tcW w:w="2364"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土壤六价铬：500</w:t>
            </w:r>
            <w:r>
              <w:rPr>
                <w:rFonts w:ascii="宋体" w:hAnsi="宋体" w:eastAsia="宋体" w:cs="宋体"/>
                <w:color w:val="000000"/>
                <w:kern w:val="0"/>
                <w:sz w:val="20"/>
                <w:szCs w:val="20"/>
              </w:rPr>
              <w:t>mg/kg</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，铬：2500</w:t>
            </w:r>
            <w:r>
              <w:rPr>
                <w:rFonts w:ascii="宋体" w:hAnsi="宋体" w:eastAsia="宋体" w:cs="宋体"/>
                <w:color w:val="000000"/>
                <w:kern w:val="0"/>
                <w:sz w:val="20"/>
                <w:szCs w:val="20"/>
              </w:rPr>
              <w:t>mg/kg</w:t>
            </w:r>
            <w:r>
              <w:rPr>
                <w:rFonts w:hint="eastAsia" w:ascii="宋体" w:hAnsi="宋体" w:eastAsia="宋体" w:cs="宋体"/>
                <w:color w:val="000000"/>
                <w:kern w:val="0"/>
                <w:sz w:val="20"/>
                <w:szCs w:val="20"/>
              </w:rPr>
              <w:t>；地下水中六价铬：0.5mg/L，</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总铬：1.5mg/L</w:t>
            </w:r>
          </w:p>
        </w:tc>
        <w:tc>
          <w:tcPr>
            <w:tcW w:w="850"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北京北方节能环保有限公司</w:t>
            </w:r>
          </w:p>
        </w:tc>
        <w:tc>
          <w:tcPr>
            <w:tcW w:w="141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一期工程：</w:t>
            </w:r>
            <w:r>
              <w:rPr>
                <w:rFonts w:hint="eastAsia" w:ascii="宋体" w:hAnsi="宋体" w:eastAsia="宋体" w:cs="宋体"/>
                <w:color w:val="000000"/>
                <w:kern w:val="0"/>
                <w:sz w:val="20"/>
                <w:szCs w:val="20"/>
                <w:lang w:val="zh-CN"/>
              </w:rPr>
              <w:t>内蒙古环投集团环境治理工程公司，浙江卓锦环保科技股份有限公司；</w:t>
            </w:r>
            <w:r>
              <w:rPr>
                <w:rFonts w:hint="eastAsia" w:ascii="宋体" w:hAnsi="宋体" w:eastAsia="宋体" w:cs="宋体"/>
                <w:color w:val="000000"/>
                <w:kern w:val="0"/>
                <w:sz w:val="20"/>
                <w:szCs w:val="20"/>
              </w:rPr>
              <w:t>二期工程：中节能大地（杭州）环境修复有限公司</w:t>
            </w:r>
          </w:p>
        </w:tc>
        <w:tc>
          <w:tcPr>
            <w:tcW w:w="70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内蒙古黄河铬盐股份有限公司</w:t>
            </w:r>
          </w:p>
        </w:tc>
        <w:tc>
          <w:tcPr>
            <w:tcW w:w="373"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2020年1月</w:t>
            </w:r>
          </w:p>
        </w:tc>
        <w:tc>
          <w:tcPr>
            <w:tcW w:w="373" w:type="dxa"/>
            <w:shd w:val="clear" w:color="auto" w:fill="auto"/>
            <w:vAlign w:val="center"/>
          </w:tcPr>
          <w:p>
            <w:pPr>
              <w:rPr>
                <w:rFonts w:ascii="宋体" w:hAnsi="宋体" w:eastAsia="宋体" w:cs="宋体"/>
                <w:color w:val="000000"/>
                <w:kern w:val="0"/>
                <w:sz w:val="20"/>
                <w:szCs w:val="20"/>
              </w:rPr>
            </w:pPr>
            <w:r>
              <w:rPr>
                <w:rFonts w:hint="eastAsia" w:ascii="Times New Roman" w:hAnsi="Times New Roman" w:eastAsia="宋体" w:cs="Times New Roman"/>
                <w:color w:val="000000"/>
                <w:sz w:val="20"/>
                <w:szCs w:val="20"/>
                <w:shd w:val="clear" w:color="auto" w:fill="FFFFFF"/>
              </w:rPr>
              <w:t>风险评估后</w:t>
            </w:r>
            <w:r>
              <w:rPr>
                <w:rFonts w:ascii="Times New Roman" w:hAnsi="Times New Roman" w:eastAsia="宋体" w:cs="Times New Roman"/>
                <w:color w:val="000000"/>
                <w:sz w:val="20"/>
                <w:szCs w:val="20"/>
                <w:shd w:val="clear" w:color="auto" w:fill="FFFFFF"/>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00"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19" w:type="dxa"/>
            <w:vAlign w:val="center"/>
          </w:tcPr>
          <w:p>
            <w:pPr>
              <w:jc w:val="center"/>
              <w:rPr>
                <w:rFonts w:ascii="Times New Roman"/>
                <w:bCs/>
                <w:color w:val="000000" w:themeColor="text1"/>
                <w:kern w:val="0"/>
                <w:sz w:val="20"/>
                <w:szCs w:val="20"/>
              </w:rPr>
            </w:pPr>
            <w:r>
              <w:rPr>
                <w:rFonts w:hint="eastAsia" w:ascii="Times New Roman"/>
                <w:bCs/>
                <w:color w:val="000000" w:themeColor="text1"/>
                <w:kern w:val="0"/>
                <w:sz w:val="20"/>
                <w:szCs w:val="20"/>
              </w:rPr>
              <w:t>1508252320009</w:t>
            </w:r>
          </w:p>
        </w:tc>
        <w:tc>
          <w:tcPr>
            <w:tcW w:w="847" w:type="dxa"/>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乌拉特后旗鑫兴矿业发展有限责任公司地块</w:t>
            </w:r>
          </w:p>
        </w:tc>
        <w:tc>
          <w:tcPr>
            <w:tcW w:w="941"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w:t>
            </w:r>
          </w:p>
        </w:tc>
        <w:tc>
          <w:tcPr>
            <w:tcW w:w="616"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巴彦淖尔市乌拉特后旗</w:t>
            </w:r>
          </w:p>
        </w:tc>
        <w:tc>
          <w:tcPr>
            <w:tcW w:w="10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乌拉特后旗获各琦苏木</w:t>
            </w:r>
          </w:p>
        </w:tc>
        <w:tc>
          <w:tcPr>
            <w:tcW w:w="164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东至河流，西至生产区外侧道路，南至生产区外侧道路，北至山脊</w:t>
            </w:r>
          </w:p>
        </w:tc>
        <w:tc>
          <w:tcPr>
            <w:tcW w:w="993"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213302.05</w:t>
            </w:r>
          </w:p>
        </w:tc>
        <w:tc>
          <w:tcPr>
            <w:tcW w:w="1091"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乌拉特后旗人民政府</w:t>
            </w:r>
          </w:p>
        </w:tc>
        <w:tc>
          <w:tcPr>
            <w:tcW w:w="14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已完成修复，正在开展效果评估</w:t>
            </w:r>
          </w:p>
        </w:tc>
        <w:tc>
          <w:tcPr>
            <w:tcW w:w="2364" w:type="dxa"/>
            <w:shd w:val="clear" w:color="auto" w:fill="auto"/>
            <w:vAlign w:val="center"/>
          </w:tcPr>
          <w:p>
            <w:pPr>
              <w:rPr>
                <w:sz w:val="20"/>
                <w:szCs w:val="20"/>
              </w:rPr>
            </w:pPr>
            <w:r>
              <w:rPr>
                <w:rFonts w:hint="eastAsia" w:ascii="宋体" w:hAnsi="宋体" w:eastAsia="宋体" w:cs="宋体"/>
                <w:color w:val="000000"/>
                <w:kern w:val="0"/>
                <w:sz w:val="20"/>
                <w:szCs w:val="20"/>
              </w:rPr>
              <w:t xml:space="preserve">修复铅超标的土壤方量为 </w:t>
            </w:r>
            <w:r>
              <w:rPr>
                <w:rFonts w:ascii="宋体" w:hAnsi="宋体" w:eastAsia="宋体" w:cs="宋体"/>
                <w:color w:val="000000"/>
                <w:kern w:val="0"/>
                <w:sz w:val="20"/>
                <w:szCs w:val="20"/>
              </w:rPr>
              <w:t>5871.151 m</w:t>
            </w:r>
            <w:r>
              <w:rPr>
                <w:rFonts w:ascii="宋体" w:hAnsi="宋体" w:eastAsia="宋体" w:cs="宋体"/>
                <w:color w:val="000000"/>
                <w:kern w:val="0"/>
                <w:sz w:val="20"/>
                <w:szCs w:val="20"/>
                <w:vertAlign w:val="superscript"/>
              </w:rPr>
              <w:t>3</w:t>
            </w:r>
            <w:r>
              <w:rPr>
                <w:rFonts w:hint="eastAsia" w:ascii="宋体" w:hAnsi="宋体" w:eastAsia="宋体" w:cs="宋体"/>
                <w:color w:val="000000"/>
                <w:kern w:val="0"/>
                <w:sz w:val="20"/>
                <w:szCs w:val="20"/>
              </w:rPr>
              <w:t xml:space="preserve">，需修复砷超标的土壤方量为 </w:t>
            </w:r>
            <w:r>
              <w:rPr>
                <w:rFonts w:ascii="宋体" w:hAnsi="宋体" w:eastAsia="宋体" w:cs="宋体"/>
                <w:color w:val="000000"/>
                <w:kern w:val="0"/>
                <w:sz w:val="20"/>
                <w:szCs w:val="20"/>
              </w:rPr>
              <w:t>3846.449 m</w:t>
            </w:r>
            <w:r>
              <w:rPr>
                <w:rFonts w:ascii="宋体" w:hAnsi="宋体" w:eastAsia="宋体" w:cs="宋体"/>
                <w:color w:val="000000"/>
                <w:kern w:val="0"/>
                <w:sz w:val="20"/>
                <w:szCs w:val="20"/>
                <w:vertAlign w:val="superscript"/>
              </w:rPr>
              <w:t>3</w:t>
            </w:r>
            <w:r>
              <w:rPr>
                <w:rFonts w:hint="eastAsia" w:ascii="宋体" w:hAnsi="宋体" w:eastAsia="宋体" w:cs="宋体"/>
                <w:color w:val="000000"/>
                <w:kern w:val="0"/>
                <w:sz w:val="20"/>
                <w:szCs w:val="20"/>
              </w:rPr>
              <w:t xml:space="preserve">，需修复铅砷复合超标的土壤方量为 </w:t>
            </w:r>
            <w:r>
              <w:rPr>
                <w:rFonts w:ascii="宋体" w:hAnsi="宋体" w:eastAsia="宋体" w:cs="宋体"/>
                <w:color w:val="000000"/>
                <w:kern w:val="0"/>
                <w:sz w:val="20"/>
                <w:szCs w:val="20"/>
              </w:rPr>
              <w:t>1113.858 m</w:t>
            </w:r>
            <w:r>
              <w:rPr>
                <w:rFonts w:ascii="宋体" w:hAnsi="宋体" w:eastAsia="宋体" w:cs="宋体"/>
                <w:color w:val="000000"/>
                <w:kern w:val="0"/>
                <w:sz w:val="20"/>
                <w:szCs w:val="20"/>
                <w:vertAlign w:val="superscript"/>
              </w:rPr>
              <w:t>3</w:t>
            </w:r>
            <w:r>
              <w:rPr>
                <w:rFonts w:hint="eastAsia" w:ascii="宋体" w:hAnsi="宋体" w:eastAsia="宋体" w:cs="宋体"/>
                <w:color w:val="000000"/>
                <w:kern w:val="0"/>
                <w:sz w:val="20"/>
                <w:szCs w:val="20"/>
              </w:rPr>
              <w:t xml:space="preserve">；铅的修复目标值为 </w:t>
            </w:r>
            <w:r>
              <w:rPr>
                <w:rFonts w:ascii="宋体" w:hAnsi="宋体" w:eastAsia="宋体" w:cs="宋体"/>
                <w:color w:val="000000"/>
                <w:kern w:val="0"/>
                <w:sz w:val="20"/>
                <w:szCs w:val="20"/>
              </w:rPr>
              <w:t>800mg/kg</w:t>
            </w:r>
            <w:r>
              <w:rPr>
                <w:rFonts w:hint="eastAsia" w:ascii="宋体" w:hAnsi="宋体" w:eastAsia="宋体" w:cs="宋体"/>
                <w:color w:val="000000"/>
                <w:kern w:val="0"/>
                <w:sz w:val="20"/>
                <w:szCs w:val="20"/>
              </w:rPr>
              <w:t xml:space="preserve">，砷的目标修复值为 </w:t>
            </w:r>
            <w:r>
              <w:rPr>
                <w:rFonts w:ascii="宋体" w:hAnsi="宋体" w:eastAsia="宋体" w:cs="宋体"/>
                <w:color w:val="000000"/>
                <w:kern w:val="0"/>
                <w:sz w:val="20"/>
                <w:szCs w:val="20"/>
              </w:rPr>
              <w:t>60mg/kg</w:t>
            </w:r>
            <w:r>
              <w:rPr>
                <w:rFonts w:hint="eastAsia" w:ascii="宋体" w:hAnsi="宋体" w:eastAsia="宋体" w:cs="宋体"/>
                <w:color w:val="000000"/>
                <w:kern w:val="0"/>
                <w:sz w:val="20"/>
                <w:szCs w:val="20"/>
              </w:rPr>
              <w:t>。</w:t>
            </w:r>
          </w:p>
        </w:tc>
        <w:tc>
          <w:tcPr>
            <w:tcW w:w="850"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内蒙古巴彦淖尔洁宇环保科技发展有限公司</w:t>
            </w:r>
          </w:p>
          <w:p>
            <w:pPr>
              <w:jc w:val="center"/>
              <w:rPr>
                <w:rFonts w:ascii="宋体" w:hAnsi="宋体" w:eastAsia="宋体" w:cs="宋体"/>
                <w:color w:val="000000"/>
                <w:kern w:val="0"/>
                <w:sz w:val="20"/>
                <w:szCs w:val="20"/>
              </w:rPr>
            </w:pPr>
          </w:p>
        </w:tc>
        <w:tc>
          <w:tcPr>
            <w:tcW w:w="141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标段内蒙古鸿鹏建设工程有限公司；第二标段内蒙古泰瑞工程建设有限责任公司；第三标段内蒙古浩禹建筑有限责任公司；第四标段内蒙古嵘安工程建设有限责任公司；第五标段内蒙古创龙市政工程有限公司。</w:t>
            </w:r>
          </w:p>
        </w:tc>
        <w:tc>
          <w:tcPr>
            <w:tcW w:w="70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巴彦淖尔市生态环境局乌拉特后旗分局</w:t>
            </w:r>
          </w:p>
        </w:tc>
        <w:tc>
          <w:tcPr>
            <w:tcW w:w="373"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2021年1月</w:t>
            </w:r>
          </w:p>
        </w:tc>
        <w:tc>
          <w:tcPr>
            <w:tcW w:w="373" w:type="dxa"/>
            <w:shd w:val="clear" w:color="auto" w:fill="auto"/>
            <w:vAlign w:val="center"/>
          </w:tcPr>
          <w:p>
            <w:pPr>
              <w:jc w:val="center"/>
              <w:rPr>
                <w:rFonts w:ascii="宋体" w:hAnsi="宋体" w:eastAsia="宋体" w:cs="宋体"/>
                <w:color w:val="000000"/>
                <w:kern w:val="0"/>
                <w:sz w:val="20"/>
                <w:szCs w:val="20"/>
              </w:rPr>
            </w:pPr>
            <w:r>
              <w:rPr>
                <w:rFonts w:hint="eastAsia" w:ascii="Times New Roman" w:hAnsi="Times New Roman" w:eastAsia="宋体" w:cs="Times New Roman"/>
                <w:color w:val="000000"/>
                <w:sz w:val="20"/>
                <w:szCs w:val="20"/>
                <w:shd w:val="clear" w:color="auto" w:fill="FFFFFF"/>
              </w:rPr>
              <w:t>风险评估后</w:t>
            </w:r>
            <w:r>
              <w:rPr>
                <w:rFonts w:ascii="Times New Roman" w:hAnsi="Times New Roman" w:eastAsia="宋体" w:cs="Times New Roman"/>
                <w:color w:val="000000"/>
                <w:sz w:val="20"/>
                <w:szCs w:val="20"/>
                <w:shd w:val="clear" w:color="auto" w:fill="FFFFFF"/>
              </w:rPr>
              <w:t>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500"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19" w:type="dxa"/>
            <w:vAlign w:val="center"/>
          </w:tcPr>
          <w:p>
            <w:pPr>
              <w:jc w:val="center"/>
              <w:rPr>
                <w:rFonts w:ascii="Times New Roman"/>
                <w:bCs/>
                <w:color w:val="000000" w:themeColor="text1"/>
                <w:kern w:val="0"/>
                <w:sz w:val="20"/>
                <w:szCs w:val="20"/>
              </w:rPr>
            </w:pPr>
            <w:r>
              <w:rPr>
                <w:rFonts w:ascii="Times New Roman"/>
                <w:bCs/>
                <w:color w:val="000000" w:themeColor="text1"/>
                <w:kern w:val="0"/>
                <w:sz w:val="20"/>
                <w:szCs w:val="20"/>
              </w:rPr>
              <w:t>1508242260002</w:t>
            </w:r>
          </w:p>
        </w:tc>
        <w:tc>
          <w:tcPr>
            <w:tcW w:w="847" w:type="dxa"/>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内蒙古乌中旗永兴矿业开发有限公司铬盐厂及渣场地块</w:t>
            </w:r>
          </w:p>
        </w:tc>
        <w:tc>
          <w:tcPr>
            <w:tcW w:w="941"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w:t>
            </w:r>
          </w:p>
        </w:tc>
        <w:tc>
          <w:tcPr>
            <w:tcW w:w="616"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巴彦淖尔市乌拉特中旗</w:t>
            </w:r>
          </w:p>
        </w:tc>
        <w:tc>
          <w:tcPr>
            <w:tcW w:w="10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厂区位于乌拉特中旗金泉工业园区；铬渣储存库位于乌拉特中旗红旗店石墨矿区</w:t>
            </w:r>
          </w:p>
        </w:tc>
        <w:tc>
          <w:tcPr>
            <w:tcW w:w="1648"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东至河槽，西至石墨厂，南至固海线，北至草场</w:t>
            </w:r>
          </w:p>
        </w:tc>
        <w:tc>
          <w:tcPr>
            <w:tcW w:w="993"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99142.36</w:t>
            </w:r>
          </w:p>
        </w:tc>
        <w:tc>
          <w:tcPr>
            <w:tcW w:w="1091"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内蒙古乌中旗永兴矿业开发有限公司</w:t>
            </w:r>
          </w:p>
        </w:tc>
        <w:tc>
          <w:tcPr>
            <w:tcW w:w="1417"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正在实施修复治理工程</w:t>
            </w:r>
          </w:p>
        </w:tc>
        <w:tc>
          <w:tcPr>
            <w:tcW w:w="2364" w:type="dxa"/>
            <w:shd w:val="clear" w:color="auto" w:fill="auto"/>
            <w:vAlign w:val="center"/>
          </w:tcPr>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厂区修复目标为：六价铬为500mg/kg，铬为2500 mg/kg，镍为300mg/kg。</w:t>
            </w:r>
            <w:r>
              <w:rPr>
                <w:rFonts w:hint="eastAsia" w:ascii="宋体" w:hAnsi="宋体" w:eastAsia="宋体" w:cs="宋体"/>
                <w:color w:val="000000"/>
                <w:kern w:val="0"/>
                <w:sz w:val="20"/>
                <w:szCs w:val="20"/>
                <w:lang w:val="zh-CN"/>
              </w:rPr>
              <w:t>主要污染区域为铬渣堆放区、湿法解毒车间门口铬渣临时堆放区以及生产车间，经统计总共修复土方量为</w:t>
            </w:r>
            <w:r>
              <w:rPr>
                <w:rFonts w:hint="eastAsia" w:ascii="宋体" w:hAnsi="宋体" w:eastAsia="宋体" w:cs="宋体"/>
                <w:color w:val="000000"/>
                <w:kern w:val="0"/>
                <w:sz w:val="20"/>
                <w:szCs w:val="20"/>
              </w:rPr>
              <w:t>48656</w:t>
            </w:r>
            <w:r>
              <w:rPr>
                <w:rFonts w:ascii="宋体" w:hAnsi="宋体" w:eastAsia="宋体" w:cs="宋体"/>
                <w:color w:val="000000"/>
                <w:kern w:val="0"/>
                <w:sz w:val="20"/>
                <w:szCs w:val="20"/>
              </w:rPr>
              <w:t xml:space="preserve"> m</w:t>
            </w:r>
            <w:r>
              <w:rPr>
                <w:rFonts w:ascii="宋体" w:hAnsi="宋体" w:eastAsia="宋体" w:cs="宋体"/>
                <w:color w:val="000000"/>
                <w:kern w:val="0"/>
                <w:sz w:val="20"/>
                <w:szCs w:val="20"/>
                <w:vertAlign w:val="superscript"/>
              </w:rPr>
              <w:t>3</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铬渣储存库及受污染沟谷修复目标为：六价铬为30mg/kg，铬为200 mg/kg，镍为50mg/kg，镉0.6 mg/kg，砷30 mg/kg，铜100 mg/kg。</w:t>
            </w:r>
            <w:r>
              <w:rPr>
                <w:rFonts w:hint="eastAsia" w:ascii="宋体" w:hAnsi="宋体" w:eastAsia="宋体" w:cs="宋体"/>
                <w:color w:val="000000"/>
                <w:kern w:val="0"/>
                <w:sz w:val="20"/>
                <w:szCs w:val="20"/>
                <w:lang w:val="zh-CN"/>
              </w:rPr>
              <w:t>主要修复区域为渣场重度污染、中度污染和轻度污染区域渣土混合物，经样品采集、现场调查和测绘统计总共修复方量为</w:t>
            </w:r>
            <w:r>
              <w:rPr>
                <w:rFonts w:hint="eastAsia" w:ascii="宋体" w:hAnsi="宋体" w:eastAsia="宋体" w:cs="宋体"/>
                <w:color w:val="000000"/>
                <w:kern w:val="0"/>
                <w:sz w:val="20"/>
                <w:szCs w:val="20"/>
              </w:rPr>
              <w:t>79334</w:t>
            </w:r>
            <w:r>
              <w:rPr>
                <w:rFonts w:ascii="宋体" w:hAnsi="宋体" w:eastAsia="宋体" w:cs="宋体"/>
                <w:color w:val="000000"/>
                <w:kern w:val="0"/>
                <w:sz w:val="20"/>
                <w:szCs w:val="20"/>
              </w:rPr>
              <w:t xml:space="preserve"> m</w:t>
            </w:r>
            <w:r>
              <w:rPr>
                <w:rFonts w:ascii="宋体" w:hAnsi="宋体" w:eastAsia="宋体" w:cs="宋体"/>
                <w:color w:val="000000"/>
                <w:kern w:val="0"/>
                <w:sz w:val="20"/>
                <w:szCs w:val="20"/>
                <w:vertAlign w:val="superscript"/>
              </w:rPr>
              <w:t>3</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地下水修复主要为永兴铬盐厂区域浅层地下水及铬渣储存库下部污染地下水和沟谷内受污染水体</w:t>
            </w:r>
          </w:p>
        </w:tc>
        <w:tc>
          <w:tcPr>
            <w:tcW w:w="850" w:type="dxa"/>
            <w:shd w:val="clear" w:color="auto" w:fill="auto"/>
            <w:vAlign w:val="center"/>
          </w:tcPr>
          <w:p>
            <w:pPr>
              <w:rPr>
                <w:rFonts w:ascii="宋体" w:hAnsi="宋体" w:eastAsia="宋体" w:cs="宋体"/>
                <w:color w:val="000000"/>
                <w:kern w:val="0"/>
                <w:sz w:val="20"/>
                <w:szCs w:val="20"/>
                <w:lang w:val="zh-CN"/>
              </w:rPr>
            </w:pPr>
            <w:r>
              <w:rPr>
                <w:rFonts w:hint="eastAsia" w:ascii="宋体" w:hAnsi="宋体" w:eastAsia="宋体" w:cs="宋体"/>
                <w:color w:val="000000"/>
                <w:kern w:val="0"/>
                <w:sz w:val="20"/>
                <w:szCs w:val="20"/>
              </w:rPr>
              <w:t>同济大学建筑设计研究院（集团）有限公司</w:t>
            </w:r>
          </w:p>
        </w:tc>
        <w:tc>
          <w:tcPr>
            <w:tcW w:w="1418" w:type="dxa"/>
            <w:shd w:val="clear" w:color="auto" w:fill="auto"/>
            <w:vAlign w:val="center"/>
          </w:tcPr>
          <w:p>
            <w:pPr>
              <w:rPr>
                <w:rFonts w:ascii="宋体" w:hAnsi="宋体" w:eastAsia="宋体" w:cs="宋体"/>
                <w:color w:val="000000"/>
                <w:kern w:val="0"/>
                <w:sz w:val="20"/>
                <w:szCs w:val="20"/>
                <w:lang w:val="zh-CN"/>
              </w:rPr>
            </w:pPr>
            <w:r>
              <w:rPr>
                <w:rFonts w:hint="eastAsia" w:ascii="宋体" w:hAnsi="宋体" w:eastAsia="宋体" w:cs="宋体"/>
                <w:color w:val="000000"/>
                <w:kern w:val="0"/>
                <w:sz w:val="20"/>
                <w:szCs w:val="20"/>
                <w:lang w:val="zh-CN"/>
              </w:rPr>
              <w:t>内蒙古环投集团环境治理工程公司，浙江卓锦环保科技股份有限公司</w:t>
            </w:r>
          </w:p>
        </w:tc>
        <w:tc>
          <w:tcPr>
            <w:tcW w:w="708" w:type="dxa"/>
            <w:shd w:val="clear" w:color="auto" w:fill="auto"/>
            <w:vAlign w:val="center"/>
          </w:tcPr>
          <w:p>
            <w:pPr>
              <w:rPr>
                <w:rFonts w:ascii="宋体" w:hAnsi="宋体" w:eastAsia="宋体" w:cs="宋体"/>
                <w:color w:val="000000"/>
                <w:kern w:val="0"/>
                <w:sz w:val="20"/>
                <w:szCs w:val="20"/>
                <w:lang w:val="zh-CN"/>
              </w:rPr>
            </w:pPr>
            <w:r>
              <w:rPr>
                <w:rFonts w:hint="eastAsia" w:ascii="宋体" w:hAnsi="宋体" w:eastAsia="宋体" w:cs="宋体"/>
                <w:color w:val="000000"/>
                <w:kern w:val="0"/>
                <w:sz w:val="20"/>
                <w:szCs w:val="20"/>
              </w:rPr>
              <w:t>巴彦淖尔市生态环境局乌拉特中旗分局</w:t>
            </w:r>
          </w:p>
        </w:tc>
        <w:tc>
          <w:tcPr>
            <w:tcW w:w="373" w:type="dxa"/>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2021年1月</w:t>
            </w:r>
          </w:p>
        </w:tc>
        <w:tc>
          <w:tcPr>
            <w:tcW w:w="373" w:type="dxa"/>
            <w:shd w:val="clear" w:color="auto" w:fill="auto"/>
            <w:vAlign w:val="center"/>
          </w:tcPr>
          <w:p>
            <w:pPr>
              <w:jc w:val="center"/>
              <w:rPr>
                <w:rFonts w:ascii="宋体" w:hAnsi="宋体" w:eastAsia="宋体" w:cs="宋体"/>
                <w:color w:val="000000"/>
                <w:kern w:val="0"/>
                <w:sz w:val="20"/>
                <w:szCs w:val="20"/>
              </w:rPr>
            </w:pPr>
            <w:r>
              <w:rPr>
                <w:rFonts w:ascii="Times New Roman" w:hAnsi="Times New Roman" w:eastAsia="宋体" w:cs="Times New Roman"/>
                <w:color w:val="000000"/>
                <w:sz w:val="20"/>
                <w:szCs w:val="20"/>
                <w:shd w:val="clear" w:color="auto" w:fill="FFFFFF"/>
              </w:rPr>
              <w:t>修复阶段纳入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0C"/>
    <w:rsid w:val="00054EF1"/>
    <w:rsid w:val="000F4C9A"/>
    <w:rsid w:val="0016590C"/>
    <w:rsid w:val="002F3B4A"/>
    <w:rsid w:val="00355118"/>
    <w:rsid w:val="00381C8A"/>
    <w:rsid w:val="00440BE7"/>
    <w:rsid w:val="005A24E5"/>
    <w:rsid w:val="00615DE8"/>
    <w:rsid w:val="00940BCA"/>
    <w:rsid w:val="00950B12"/>
    <w:rsid w:val="009B67F7"/>
    <w:rsid w:val="00B40A9D"/>
    <w:rsid w:val="00B5004C"/>
    <w:rsid w:val="00B77A51"/>
    <w:rsid w:val="00E02C62"/>
    <w:rsid w:val="00F442BE"/>
    <w:rsid w:val="00F52F4E"/>
    <w:rsid w:val="00FD75C7"/>
    <w:rsid w:val="4F5E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302</Words>
  <Characters>1728</Characters>
  <Lines>14</Lines>
  <Paragraphs>4</Paragraphs>
  <TotalTime>30</TotalTime>
  <ScaleCrop>false</ScaleCrop>
  <LinksUpToDate>false</LinksUpToDate>
  <CharactersWithSpaces>2026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2022-03-07T01:59:00Z</dcterms:created>
  <dc:creator>孙燕英(拟稿)</dc:creator>
  <cp:lastModifiedBy>雪蝶</cp:lastModifiedBy>
  <dcterms:modified xsi:type="dcterms:W3CDTF">2022-03-07T02:52:23Z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3E075B9EEF1347B3A47654981C2C0D4F</vt:lpwstr>
  </property>
</Properties>
</file>